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8BE9"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0E99728" w:rsidR="006728FE" w:rsidRPr="00144D51" w:rsidRDefault="00AF3C3D" w:rsidP="006728FE">
      <w:pPr>
        <w:jc w:val="both"/>
        <w:rPr>
          <w:rFonts w:ascii="Arial" w:hAnsi="Arial" w:cs="Arial"/>
          <w:b/>
        </w:rPr>
      </w:pPr>
      <w:r>
        <w:rPr>
          <w:rFonts w:ascii="Arial" w:hAnsi="Arial" w:cs="Arial"/>
          <w:b/>
        </w:rPr>
        <w:t>Purpose</w:t>
      </w:r>
    </w:p>
    <w:p w14:paraId="68E44BD3" w14:textId="77777777" w:rsidR="006728FE" w:rsidRPr="00144D51" w:rsidRDefault="006728FE" w:rsidP="006728FE">
      <w:pPr>
        <w:rPr>
          <w:rFonts w:ascii="Arial" w:hAnsi="Arial" w:cs="Arial"/>
        </w:rPr>
      </w:pPr>
    </w:p>
    <w:p w14:paraId="193DCD86" w14:textId="77777777" w:rsidR="006728FE" w:rsidRPr="009D4A1C" w:rsidRDefault="006728FE" w:rsidP="006728FE">
      <w:pPr>
        <w:jc w:val="both"/>
        <w:rPr>
          <w:rFonts w:ascii="Arial" w:hAnsi="Arial" w:cs="Arial"/>
        </w:rPr>
      </w:pPr>
      <w:r w:rsidRPr="009D4A1C">
        <w:rPr>
          <w:rFonts w:ascii="Arial" w:hAnsi="Arial" w:cs="Arial"/>
        </w:rPr>
        <w:t>To update the F</w:t>
      </w:r>
      <w:r w:rsidR="00B30CB7">
        <w:rPr>
          <w:rFonts w:ascii="Arial" w:hAnsi="Arial" w:cs="Arial"/>
        </w:rPr>
        <w:t>SMC o</w:t>
      </w:r>
      <w:r>
        <w:rPr>
          <w:rFonts w:ascii="Arial" w:hAnsi="Arial" w:cs="Arial"/>
        </w:rPr>
        <w:t>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7302486C" w14:textId="77777777" w:rsidR="006728FE" w:rsidRPr="009D4A1C" w:rsidRDefault="006728FE" w:rsidP="006728FE">
      <w:pPr>
        <w:jc w:val="both"/>
        <w:rPr>
          <w:rFonts w:ascii="Arial" w:hAnsi="Arial" w:cs="Arial"/>
        </w:rPr>
      </w:pPr>
    </w:p>
    <w:p w14:paraId="39A140A9" w14:textId="77777777" w:rsidR="006728FE" w:rsidRPr="009D4A1C" w:rsidRDefault="006728FE" w:rsidP="006728FE">
      <w:pPr>
        <w:jc w:val="both"/>
        <w:rPr>
          <w:rFonts w:ascii="Arial" w:hAnsi="Arial" w:cs="Arial"/>
          <w:b/>
        </w:rPr>
      </w:pPr>
      <w:r w:rsidRPr="009D4A1C">
        <w:rPr>
          <w:rFonts w:ascii="Arial" w:hAnsi="Arial" w:cs="Arial"/>
          <w:b/>
        </w:rPr>
        <w:t>Summary</w:t>
      </w:r>
    </w:p>
    <w:p w14:paraId="7A3A5CBF" w14:textId="77777777" w:rsidR="006728FE" w:rsidRPr="009D4A1C" w:rsidRDefault="006728FE" w:rsidP="006728FE">
      <w:pPr>
        <w:jc w:val="both"/>
        <w:rPr>
          <w:rFonts w:ascii="Arial" w:hAnsi="Arial" w:cs="Arial"/>
        </w:rPr>
      </w:pPr>
    </w:p>
    <w:p w14:paraId="2C0504EC"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79A9D30" w14:textId="77777777" w:rsidR="00144D51" w:rsidRDefault="00144D51" w:rsidP="00DA6E60">
      <w:pPr>
        <w:jc w:val="both"/>
        <w:rPr>
          <w:rFonts w:ascii="Arial" w:hAnsi="Arial" w:cs="Arial"/>
          <w:b/>
        </w:rPr>
      </w:pPr>
    </w:p>
    <w:p w14:paraId="618D10E7"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DEA0FDB" w14:textId="77777777" w:rsidTr="00144D51">
        <w:trPr>
          <w:trHeight w:val="2916"/>
        </w:trPr>
        <w:tc>
          <w:tcPr>
            <w:tcW w:w="8856" w:type="dxa"/>
            <w:shd w:val="clear" w:color="auto" w:fill="auto"/>
          </w:tcPr>
          <w:p w14:paraId="7BCE5F48" w14:textId="77777777" w:rsidR="00F322D8" w:rsidRPr="00144D51" w:rsidRDefault="00F322D8" w:rsidP="00DA6E60">
            <w:pPr>
              <w:jc w:val="both"/>
              <w:rPr>
                <w:rFonts w:ascii="Arial" w:hAnsi="Arial" w:cs="Arial"/>
                <w:b/>
              </w:rPr>
            </w:pPr>
          </w:p>
          <w:p w14:paraId="372A468A" w14:textId="77777777" w:rsidR="004F4241" w:rsidRPr="004F4241" w:rsidRDefault="004F4241" w:rsidP="004F4241">
            <w:pPr>
              <w:jc w:val="both"/>
              <w:rPr>
                <w:rFonts w:ascii="Arial" w:hAnsi="Arial" w:cs="Arial"/>
                <w:b/>
              </w:rPr>
            </w:pPr>
            <w:r w:rsidRPr="004F4241">
              <w:rPr>
                <w:rFonts w:ascii="Arial" w:hAnsi="Arial" w:cs="Arial"/>
                <w:b/>
              </w:rPr>
              <w:t>Recommendation:</w:t>
            </w:r>
          </w:p>
          <w:p w14:paraId="6BE0FFDC" w14:textId="77777777" w:rsidR="004F4241" w:rsidRPr="004F4241" w:rsidRDefault="004F4241" w:rsidP="004F4241">
            <w:pPr>
              <w:jc w:val="both"/>
              <w:rPr>
                <w:rFonts w:ascii="Arial" w:hAnsi="Arial" w:cs="Arial"/>
                <w:b/>
              </w:rPr>
            </w:pPr>
          </w:p>
          <w:p w14:paraId="31C4920F"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D241C18" w14:textId="77777777" w:rsidR="004F4241" w:rsidRPr="004F4241" w:rsidRDefault="004F4241" w:rsidP="004F4241">
            <w:pPr>
              <w:jc w:val="both"/>
              <w:rPr>
                <w:rFonts w:ascii="Arial" w:hAnsi="Arial" w:cs="Arial"/>
                <w:b/>
              </w:rPr>
            </w:pPr>
          </w:p>
          <w:p w14:paraId="4D56ABF8" w14:textId="77777777" w:rsidR="00144D51" w:rsidRPr="00144D51" w:rsidRDefault="00144D51" w:rsidP="003B6B91">
            <w:pPr>
              <w:rPr>
                <w:rFonts w:ascii="Arial" w:hAnsi="Arial" w:cs="Arial"/>
              </w:rPr>
            </w:pPr>
          </w:p>
          <w:p w14:paraId="11102E7A" w14:textId="77777777" w:rsidR="00F322D8" w:rsidRPr="00144D51" w:rsidRDefault="00F322D8" w:rsidP="00E77420">
            <w:pPr>
              <w:jc w:val="both"/>
              <w:rPr>
                <w:rFonts w:ascii="Arial" w:hAnsi="Arial" w:cs="Arial"/>
              </w:rPr>
            </w:pPr>
          </w:p>
          <w:p w14:paraId="34D3A895" w14:textId="77777777" w:rsidR="003D784A" w:rsidRPr="00144D51" w:rsidRDefault="003D784A" w:rsidP="00DA6E60">
            <w:pPr>
              <w:jc w:val="both"/>
              <w:rPr>
                <w:rFonts w:ascii="Arial" w:hAnsi="Arial" w:cs="Arial"/>
                <w:b/>
              </w:rPr>
            </w:pPr>
          </w:p>
          <w:p w14:paraId="36F720B0" w14:textId="77777777" w:rsidR="003D784A" w:rsidRPr="00144D51" w:rsidRDefault="003D784A" w:rsidP="00DA6E60">
            <w:pPr>
              <w:jc w:val="both"/>
              <w:rPr>
                <w:rFonts w:ascii="Arial" w:hAnsi="Arial" w:cs="Arial"/>
                <w:b/>
              </w:rPr>
            </w:pPr>
          </w:p>
          <w:p w14:paraId="41ADE17F" w14:textId="77777777" w:rsidR="00A17C81" w:rsidRPr="00144D51" w:rsidRDefault="00A17C81" w:rsidP="00DA6E60">
            <w:pPr>
              <w:jc w:val="both"/>
              <w:rPr>
                <w:rFonts w:ascii="Arial" w:hAnsi="Arial" w:cs="Arial"/>
                <w:b/>
              </w:rPr>
            </w:pPr>
          </w:p>
          <w:p w14:paraId="46B08BA5" w14:textId="77777777" w:rsidR="00F322D8" w:rsidRPr="00144D51" w:rsidRDefault="00F322D8" w:rsidP="004A7DA6">
            <w:pPr>
              <w:jc w:val="both"/>
              <w:rPr>
                <w:rFonts w:ascii="Arial" w:hAnsi="Arial" w:cs="Arial"/>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0095607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0095607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0095607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0095607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0095607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0095607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0095607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Default="00125C8D">
      <w:pPr>
        <w:rPr>
          <w:rFonts w:ascii="Arial" w:hAnsi="Arial" w:cs="Arial"/>
          <w:b/>
        </w:rPr>
      </w:pPr>
      <w:r>
        <w:rPr>
          <w:rFonts w:ascii="Arial" w:hAnsi="Arial" w:cs="Arial"/>
          <w:b/>
        </w:rPr>
        <w:br w:type="page"/>
      </w:r>
    </w:p>
    <w:p w14:paraId="4949F062"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3497C714"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3DBD1E30" w14:textId="31B76704" w:rsidR="00823BFE" w:rsidRPr="002C1EF2" w:rsidRDefault="00823BFE" w:rsidP="00823BFE">
      <w:pPr>
        <w:ind w:left="567" w:hanging="567"/>
        <w:jc w:val="both"/>
        <w:rPr>
          <w:rFonts w:ascii="Arial" w:hAnsi="Arial" w:cs="Arial"/>
          <w:i/>
          <w:lang w:val="en-US"/>
        </w:rPr>
      </w:pPr>
      <w:r w:rsidRPr="002C1EF2">
        <w:rPr>
          <w:rFonts w:ascii="Arial" w:hAnsi="Arial" w:cs="Arial"/>
          <w:i/>
          <w:lang w:val="en-US"/>
        </w:rPr>
        <w:t xml:space="preserve">Scheme Advisory Board </w:t>
      </w:r>
      <w:r w:rsidR="00D16AE2">
        <w:rPr>
          <w:rFonts w:ascii="Arial" w:hAnsi="Arial" w:cs="Arial"/>
          <w:i/>
          <w:lang w:val="en-US"/>
        </w:rPr>
        <w:t>(SAB)</w:t>
      </w:r>
    </w:p>
    <w:p w14:paraId="626827B5" w14:textId="77777777" w:rsidR="00823BFE" w:rsidRPr="002C1EF2" w:rsidRDefault="00823BFE" w:rsidP="00823BFE">
      <w:pPr>
        <w:pStyle w:val="ListParagraph"/>
        <w:ind w:left="567"/>
        <w:jc w:val="both"/>
        <w:rPr>
          <w:rFonts w:ascii="Arial" w:hAnsi="Arial" w:cs="Arial"/>
          <w:noProof/>
          <w:color w:val="000000"/>
          <w:lang w:eastAsia="en-GB"/>
        </w:rPr>
      </w:pPr>
    </w:p>
    <w:p w14:paraId="50C8481C" w14:textId="3E99E2B8" w:rsidR="000454AB" w:rsidRPr="000454AB" w:rsidRDefault="000454AB" w:rsidP="00EC04D2">
      <w:pPr>
        <w:pStyle w:val="ListParagraph"/>
        <w:numPr>
          <w:ilvl w:val="0"/>
          <w:numId w:val="1"/>
        </w:numPr>
        <w:ind w:left="567" w:hanging="567"/>
        <w:rPr>
          <w:rFonts w:ascii="Arial" w:hAnsi="Arial" w:cs="Arial"/>
          <w:noProof/>
          <w:color w:val="000000"/>
          <w:lang w:eastAsia="en-GB"/>
        </w:rPr>
      </w:pPr>
      <w:r w:rsidRPr="000454AB">
        <w:rPr>
          <w:rFonts w:ascii="Arial" w:hAnsi="Arial" w:cs="Arial"/>
          <w:noProof/>
          <w:color w:val="000000"/>
          <w:lang w:eastAsia="en-GB"/>
        </w:rPr>
        <w:t>Government have confirmed their intent to launch a series of technical discussions with the respective public sector scheme advisory boards in order to consider the Government proposals</w:t>
      </w:r>
      <w:r w:rsidR="00EC04D2">
        <w:rPr>
          <w:rFonts w:ascii="Arial" w:hAnsi="Arial" w:cs="Arial"/>
          <w:noProof/>
          <w:color w:val="000000"/>
          <w:lang w:eastAsia="en-GB"/>
        </w:rPr>
        <w:t xml:space="preserve"> to respond to the McCloud and Sargeant legal proceedings</w:t>
      </w:r>
      <w:r w:rsidR="00CE1AFF">
        <w:rPr>
          <w:rFonts w:ascii="Arial" w:hAnsi="Arial" w:cs="Arial"/>
          <w:noProof/>
          <w:color w:val="000000"/>
          <w:lang w:eastAsia="en-GB"/>
        </w:rPr>
        <w:t xml:space="preserve"> (see </w:t>
      </w:r>
      <w:r w:rsidR="00CE1AFF" w:rsidRPr="003E0D24">
        <w:rPr>
          <w:rStyle w:val="ReportTemplate"/>
          <w:rFonts w:ascii="Arial" w:hAnsi="Arial" w:cs="Arial"/>
          <w:i/>
          <w:noProof/>
          <w:lang w:eastAsia="en-GB"/>
        </w:rPr>
        <w:t>Pension Scheme Transitional Protection Arrangements Discrimination C</w:t>
      </w:r>
      <w:r w:rsidR="00CE1AFF">
        <w:rPr>
          <w:rStyle w:val="ReportTemplate"/>
          <w:rFonts w:ascii="Arial" w:hAnsi="Arial" w:cs="Arial"/>
          <w:i/>
          <w:noProof/>
          <w:lang w:eastAsia="en-GB"/>
        </w:rPr>
        <w:t xml:space="preserve">ases </w:t>
      </w:r>
      <w:r w:rsidR="00CE1AFF">
        <w:rPr>
          <w:rStyle w:val="ReportTemplate"/>
          <w:rFonts w:ascii="Arial" w:hAnsi="Arial" w:cs="Arial"/>
          <w:noProof/>
          <w:lang w:eastAsia="en-GB"/>
        </w:rPr>
        <w:t>below)</w:t>
      </w:r>
      <w:r w:rsidRPr="000454AB">
        <w:rPr>
          <w:rFonts w:ascii="Arial" w:hAnsi="Arial" w:cs="Arial"/>
          <w:noProof/>
          <w:color w:val="000000"/>
          <w:lang w:eastAsia="en-GB"/>
        </w:rPr>
        <w:t>.</w:t>
      </w:r>
      <w:r w:rsidR="00EC04D2">
        <w:rPr>
          <w:rFonts w:ascii="Arial" w:hAnsi="Arial" w:cs="Arial"/>
          <w:noProof/>
          <w:color w:val="000000"/>
          <w:lang w:eastAsia="en-GB"/>
        </w:rPr>
        <w:t xml:space="preserve">  Government have confirmed they intend to </w:t>
      </w:r>
      <w:r w:rsidR="00EC04D2" w:rsidRPr="000454AB">
        <w:rPr>
          <w:rFonts w:ascii="Arial" w:hAnsi="Arial" w:cs="Arial"/>
          <w:noProof/>
          <w:color w:val="000000"/>
          <w:lang w:eastAsia="en-GB"/>
        </w:rPr>
        <w:t>extend the same treatment to all members of the public service pension schemes</w:t>
      </w:r>
      <w:r w:rsidR="00EC04D2">
        <w:rPr>
          <w:rFonts w:ascii="Arial" w:hAnsi="Arial" w:cs="Arial"/>
          <w:noProof/>
          <w:color w:val="000000"/>
          <w:lang w:eastAsia="en-GB"/>
        </w:rPr>
        <w:t>.</w:t>
      </w:r>
    </w:p>
    <w:p w14:paraId="2E832F97" w14:textId="77777777" w:rsidR="000454AB" w:rsidRPr="000454AB" w:rsidRDefault="000454AB" w:rsidP="000454AB">
      <w:pPr>
        <w:rPr>
          <w:rFonts w:ascii="Arial" w:hAnsi="Arial" w:cs="Arial"/>
          <w:noProof/>
          <w:color w:val="000000"/>
          <w:lang w:eastAsia="en-GB"/>
        </w:rPr>
      </w:pPr>
    </w:p>
    <w:p w14:paraId="79C59064" w14:textId="4ECD833A" w:rsidR="000454AB" w:rsidRPr="000454AB" w:rsidRDefault="000454AB" w:rsidP="00EC04D2">
      <w:pPr>
        <w:pStyle w:val="ListParagraph"/>
        <w:numPr>
          <w:ilvl w:val="0"/>
          <w:numId w:val="1"/>
        </w:numPr>
        <w:ind w:left="567" w:hanging="567"/>
        <w:rPr>
          <w:rFonts w:ascii="Arial" w:hAnsi="Arial" w:cs="Arial"/>
          <w:noProof/>
          <w:color w:val="000000"/>
          <w:lang w:eastAsia="en-GB"/>
        </w:rPr>
      </w:pPr>
      <w:r w:rsidRPr="000454AB">
        <w:rPr>
          <w:rFonts w:ascii="Arial" w:hAnsi="Arial" w:cs="Arial"/>
          <w:noProof/>
          <w:color w:val="000000"/>
          <w:lang w:eastAsia="en-GB"/>
        </w:rPr>
        <w:t xml:space="preserve">In order to respond to the technical discussion consultation, The Firefighters (England) Scheme Advisory Board </w:t>
      </w:r>
      <w:r w:rsidR="00EC04D2">
        <w:rPr>
          <w:rFonts w:ascii="Arial" w:hAnsi="Arial" w:cs="Arial"/>
          <w:noProof/>
          <w:color w:val="000000"/>
          <w:lang w:eastAsia="en-GB"/>
        </w:rPr>
        <w:t xml:space="preserve">will be forming </w:t>
      </w:r>
      <w:r w:rsidRPr="000454AB">
        <w:rPr>
          <w:rFonts w:ascii="Arial" w:hAnsi="Arial" w:cs="Arial"/>
          <w:noProof/>
          <w:color w:val="000000"/>
          <w:lang w:eastAsia="en-GB"/>
        </w:rPr>
        <w:t xml:space="preserve">a small working group of stakeholders </w:t>
      </w:r>
      <w:r w:rsidR="00EC04D2">
        <w:rPr>
          <w:rFonts w:ascii="Arial" w:hAnsi="Arial" w:cs="Arial"/>
          <w:noProof/>
          <w:color w:val="000000"/>
          <w:lang w:eastAsia="en-GB"/>
        </w:rPr>
        <w:t>drawn from SAB members, N</w:t>
      </w:r>
      <w:r w:rsidR="00D16AE2">
        <w:rPr>
          <w:rFonts w:ascii="Arial" w:hAnsi="Arial" w:cs="Arial"/>
          <w:noProof/>
          <w:color w:val="000000"/>
          <w:lang w:eastAsia="en-GB"/>
        </w:rPr>
        <w:t xml:space="preserve">ational </w:t>
      </w:r>
      <w:r w:rsidR="00EC04D2">
        <w:rPr>
          <w:rFonts w:ascii="Arial" w:hAnsi="Arial" w:cs="Arial"/>
          <w:noProof/>
          <w:color w:val="000000"/>
          <w:lang w:eastAsia="en-GB"/>
        </w:rPr>
        <w:t>F</w:t>
      </w:r>
      <w:r w:rsidR="00D16AE2">
        <w:rPr>
          <w:rFonts w:ascii="Arial" w:hAnsi="Arial" w:cs="Arial"/>
          <w:noProof/>
          <w:color w:val="000000"/>
          <w:lang w:eastAsia="en-GB"/>
        </w:rPr>
        <w:t xml:space="preserve">ire </w:t>
      </w:r>
      <w:r w:rsidR="00EC04D2">
        <w:rPr>
          <w:rFonts w:ascii="Arial" w:hAnsi="Arial" w:cs="Arial"/>
          <w:noProof/>
          <w:color w:val="000000"/>
          <w:lang w:eastAsia="en-GB"/>
        </w:rPr>
        <w:t>C</w:t>
      </w:r>
      <w:r w:rsidR="00D16AE2">
        <w:rPr>
          <w:rFonts w:ascii="Arial" w:hAnsi="Arial" w:cs="Arial"/>
          <w:noProof/>
          <w:color w:val="000000"/>
          <w:lang w:eastAsia="en-GB"/>
        </w:rPr>
        <w:t xml:space="preserve">hiefs </w:t>
      </w:r>
      <w:r w:rsidR="00EC04D2">
        <w:rPr>
          <w:rFonts w:ascii="Arial" w:hAnsi="Arial" w:cs="Arial"/>
          <w:noProof/>
          <w:color w:val="000000"/>
          <w:lang w:eastAsia="en-GB"/>
        </w:rPr>
        <w:t>C</w:t>
      </w:r>
      <w:r w:rsidR="00D16AE2">
        <w:rPr>
          <w:rFonts w:ascii="Arial" w:hAnsi="Arial" w:cs="Arial"/>
          <w:noProof/>
          <w:color w:val="000000"/>
          <w:lang w:eastAsia="en-GB"/>
        </w:rPr>
        <w:t>ouncil (NFCC)</w:t>
      </w:r>
      <w:r w:rsidR="00EC04D2">
        <w:rPr>
          <w:rFonts w:ascii="Arial" w:hAnsi="Arial" w:cs="Arial"/>
          <w:noProof/>
          <w:color w:val="000000"/>
          <w:lang w:eastAsia="en-GB"/>
        </w:rPr>
        <w:t xml:space="preserve">, Senior HR and Finance Officers, Administrators and Software suppliers.  </w:t>
      </w:r>
    </w:p>
    <w:p w14:paraId="2B4132AF" w14:textId="77777777" w:rsidR="000454AB" w:rsidRDefault="000454AB" w:rsidP="00EC04D2">
      <w:pPr>
        <w:pStyle w:val="ListParagraph"/>
        <w:ind w:left="567"/>
        <w:jc w:val="both"/>
        <w:rPr>
          <w:rFonts w:ascii="Arial" w:hAnsi="Arial" w:cs="Arial"/>
          <w:noProof/>
          <w:color w:val="000000"/>
          <w:lang w:eastAsia="en-GB"/>
        </w:rPr>
      </w:pPr>
    </w:p>
    <w:p w14:paraId="7F421BD8" w14:textId="77777777" w:rsidR="00EC04D2" w:rsidRDefault="00EC04D2" w:rsidP="00EC04D2">
      <w:pPr>
        <w:pStyle w:val="ListParagraph"/>
        <w:numPr>
          <w:ilvl w:val="0"/>
          <w:numId w:val="1"/>
        </w:numPr>
        <w:ind w:left="567" w:hanging="567"/>
        <w:jc w:val="both"/>
        <w:rPr>
          <w:rFonts w:ascii="Arial" w:hAnsi="Arial" w:cs="Arial"/>
          <w:noProof/>
          <w:color w:val="000000"/>
          <w:lang w:eastAsia="en-GB"/>
        </w:rPr>
      </w:pPr>
      <w:r>
        <w:rPr>
          <w:rFonts w:ascii="Arial" w:hAnsi="Arial" w:cs="Arial"/>
          <w:noProof/>
          <w:color w:val="000000"/>
          <w:lang w:eastAsia="en-GB"/>
        </w:rPr>
        <w:t>This group will be mindful of the benchmarking report</w:t>
      </w:r>
      <w:r>
        <w:rPr>
          <w:rStyle w:val="FootnoteReference"/>
          <w:rFonts w:ascii="Arial" w:hAnsi="Arial" w:cs="Arial"/>
          <w:noProof/>
          <w:color w:val="000000"/>
          <w:lang w:eastAsia="en-GB"/>
        </w:rPr>
        <w:footnoteReference w:id="1"/>
      </w:r>
      <w:r>
        <w:rPr>
          <w:rFonts w:ascii="Arial" w:hAnsi="Arial" w:cs="Arial"/>
          <w:noProof/>
          <w:color w:val="000000"/>
          <w:lang w:eastAsia="en-GB"/>
        </w:rPr>
        <w:t xml:space="preserve"> commissioned by the SAB which found the cost</w:t>
      </w:r>
      <w:r>
        <w:rPr>
          <w:rStyle w:val="FootnoteReference"/>
          <w:rFonts w:ascii="Arial" w:hAnsi="Arial" w:cs="Arial"/>
          <w:noProof/>
          <w:color w:val="000000"/>
          <w:lang w:eastAsia="en-GB"/>
        </w:rPr>
        <w:footnoteReference w:id="2"/>
      </w:r>
      <w:r>
        <w:rPr>
          <w:rFonts w:ascii="Arial" w:hAnsi="Arial" w:cs="Arial"/>
          <w:noProof/>
          <w:color w:val="000000"/>
          <w:lang w:eastAsia="en-GB"/>
        </w:rPr>
        <w:t xml:space="preserve"> of administrating and managing the Firefighters Pension Scheme to be in the region of £5.3 million across England</w:t>
      </w:r>
    </w:p>
    <w:p w14:paraId="2633171F" w14:textId="77777777" w:rsidR="00EC04D2" w:rsidRPr="00EC04D2" w:rsidRDefault="00EC04D2" w:rsidP="00EC04D2">
      <w:pPr>
        <w:pStyle w:val="ListParagraph"/>
        <w:rPr>
          <w:rFonts w:ascii="Arial" w:hAnsi="Arial" w:cs="Arial"/>
          <w:noProof/>
          <w:color w:val="000000"/>
          <w:lang w:eastAsia="en-GB"/>
        </w:rPr>
      </w:pPr>
    </w:p>
    <w:tbl>
      <w:tblPr>
        <w:tblStyle w:val="TableGrid"/>
        <w:tblW w:w="0" w:type="auto"/>
        <w:tblInd w:w="567" w:type="dxa"/>
        <w:tblLook w:val="04A0" w:firstRow="1" w:lastRow="0" w:firstColumn="1" w:lastColumn="0" w:noHBand="0" w:noVBand="1"/>
      </w:tblPr>
      <w:tblGrid>
        <w:gridCol w:w="4391"/>
        <w:gridCol w:w="4392"/>
      </w:tblGrid>
      <w:tr w:rsidR="00EC04D2" w14:paraId="417206B5" w14:textId="77777777" w:rsidTr="00EC04D2">
        <w:tc>
          <w:tcPr>
            <w:tcW w:w="4675" w:type="dxa"/>
          </w:tcPr>
          <w:p w14:paraId="110AB83D" w14:textId="77777777" w:rsidR="00EC04D2" w:rsidRDefault="00EC04D2" w:rsidP="00EC04D2">
            <w:pPr>
              <w:pStyle w:val="ListParagraph"/>
              <w:ind w:left="0"/>
              <w:jc w:val="both"/>
              <w:rPr>
                <w:rFonts w:ascii="Arial" w:hAnsi="Arial" w:cs="Arial"/>
                <w:noProof/>
                <w:color w:val="000000"/>
                <w:lang w:eastAsia="en-GB"/>
              </w:rPr>
            </w:pPr>
          </w:p>
        </w:tc>
        <w:tc>
          <w:tcPr>
            <w:tcW w:w="4675" w:type="dxa"/>
          </w:tcPr>
          <w:p w14:paraId="634AA392"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Total Cost</w:t>
            </w:r>
          </w:p>
        </w:tc>
      </w:tr>
      <w:tr w:rsidR="00EC04D2" w14:paraId="1FB0D55E" w14:textId="77777777" w:rsidTr="00EC04D2">
        <w:tc>
          <w:tcPr>
            <w:tcW w:w="4675" w:type="dxa"/>
          </w:tcPr>
          <w:p w14:paraId="4E783275"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FRA Staff</w:t>
            </w:r>
          </w:p>
        </w:tc>
        <w:tc>
          <w:tcPr>
            <w:tcW w:w="4675" w:type="dxa"/>
          </w:tcPr>
          <w:p w14:paraId="74349123"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£1,795,670.36</w:t>
            </w:r>
          </w:p>
        </w:tc>
      </w:tr>
      <w:tr w:rsidR="00EC04D2" w14:paraId="1F74F5F1" w14:textId="77777777" w:rsidTr="00EC04D2">
        <w:tc>
          <w:tcPr>
            <w:tcW w:w="4675" w:type="dxa"/>
          </w:tcPr>
          <w:p w14:paraId="5DF62F1E"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Administrators</w:t>
            </w:r>
          </w:p>
        </w:tc>
        <w:tc>
          <w:tcPr>
            <w:tcW w:w="4675" w:type="dxa"/>
          </w:tcPr>
          <w:p w14:paraId="487A8609"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£1,855,120.00</w:t>
            </w:r>
          </w:p>
        </w:tc>
      </w:tr>
      <w:tr w:rsidR="00EC04D2" w14:paraId="32469984" w14:textId="77777777" w:rsidTr="00EC04D2">
        <w:tc>
          <w:tcPr>
            <w:tcW w:w="4675" w:type="dxa"/>
          </w:tcPr>
          <w:p w14:paraId="650BDCE4"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Software</w:t>
            </w:r>
          </w:p>
        </w:tc>
        <w:tc>
          <w:tcPr>
            <w:tcW w:w="4675" w:type="dxa"/>
          </w:tcPr>
          <w:p w14:paraId="1325F577"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£320,925.00</w:t>
            </w:r>
          </w:p>
        </w:tc>
      </w:tr>
      <w:tr w:rsidR="00EC04D2" w14:paraId="21386EEC" w14:textId="77777777" w:rsidTr="00EC04D2">
        <w:tc>
          <w:tcPr>
            <w:tcW w:w="4675" w:type="dxa"/>
          </w:tcPr>
          <w:p w14:paraId="597C3B23"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Special Projects</w:t>
            </w:r>
          </w:p>
        </w:tc>
        <w:tc>
          <w:tcPr>
            <w:tcW w:w="4675" w:type="dxa"/>
          </w:tcPr>
          <w:p w14:paraId="0DF593EC"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£1,091,169.00</w:t>
            </w:r>
          </w:p>
        </w:tc>
      </w:tr>
      <w:tr w:rsidR="00EC04D2" w14:paraId="1DBCEB84" w14:textId="77777777" w:rsidTr="00EC04D2">
        <w:tc>
          <w:tcPr>
            <w:tcW w:w="4675" w:type="dxa"/>
          </w:tcPr>
          <w:p w14:paraId="0D041154"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FPS related activities</w:t>
            </w:r>
          </w:p>
        </w:tc>
        <w:tc>
          <w:tcPr>
            <w:tcW w:w="4675" w:type="dxa"/>
          </w:tcPr>
          <w:p w14:paraId="701982D4" w14:textId="77777777" w:rsidR="00EC04D2" w:rsidRDefault="00EC04D2" w:rsidP="00EC04D2">
            <w:pPr>
              <w:pStyle w:val="ListParagraph"/>
              <w:ind w:left="0"/>
              <w:jc w:val="both"/>
              <w:rPr>
                <w:rFonts w:ascii="Arial" w:hAnsi="Arial" w:cs="Arial"/>
                <w:noProof/>
                <w:color w:val="000000"/>
                <w:lang w:eastAsia="en-GB"/>
              </w:rPr>
            </w:pPr>
            <w:r>
              <w:rPr>
                <w:rFonts w:ascii="Arial" w:hAnsi="Arial" w:cs="Arial"/>
                <w:noProof/>
                <w:color w:val="000000"/>
                <w:lang w:eastAsia="en-GB"/>
              </w:rPr>
              <w:t>£269,379.78</w:t>
            </w:r>
          </w:p>
        </w:tc>
      </w:tr>
      <w:tr w:rsidR="00EC04D2" w14:paraId="2A039285" w14:textId="77777777" w:rsidTr="00EC04D2">
        <w:tc>
          <w:tcPr>
            <w:tcW w:w="4675" w:type="dxa"/>
          </w:tcPr>
          <w:p w14:paraId="73A3DB07" w14:textId="77777777" w:rsidR="00EC04D2" w:rsidRPr="00EC04D2" w:rsidRDefault="00EC04D2" w:rsidP="00EC04D2">
            <w:pPr>
              <w:pStyle w:val="ListParagraph"/>
              <w:ind w:left="0"/>
              <w:jc w:val="both"/>
              <w:rPr>
                <w:rFonts w:ascii="Arial" w:hAnsi="Arial" w:cs="Arial"/>
                <w:b/>
                <w:noProof/>
                <w:color w:val="000000"/>
                <w:lang w:eastAsia="en-GB"/>
              </w:rPr>
            </w:pPr>
            <w:r w:rsidRPr="00EC04D2">
              <w:rPr>
                <w:rFonts w:ascii="Arial" w:hAnsi="Arial" w:cs="Arial"/>
                <w:b/>
                <w:noProof/>
                <w:color w:val="000000"/>
                <w:lang w:eastAsia="en-GB"/>
              </w:rPr>
              <w:t>Total</w:t>
            </w:r>
          </w:p>
        </w:tc>
        <w:tc>
          <w:tcPr>
            <w:tcW w:w="4675" w:type="dxa"/>
          </w:tcPr>
          <w:p w14:paraId="70167E98" w14:textId="77777777" w:rsidR="00EC04D2" w:rsidRPr="00EC04D2" w:rsidRDefault="00EC04D2" w:rsidP="00EC04D2">
            <w:pPr>
              <w:pStyle w:val="ListParagraph"/>
              <w:ind w:left="0"/>
              <w:jc w:val="both"/>
              <w:rPr>
                <w:rFonts w:ascii="Arial" w:hAnsi="Arial" w:cs="Arial"/>
                <w:b/>
                <w:noProof/>
                <w:color w:val="000000"/>
                <w:lang w:eastAsia="en-GB"/>
              </w:rPr>
            </w:pPr>
            <w:r w:rsidRPr="00EC04D2">
              <w:rPr>
                <w:rFonts w:ascii="Arial" w:hAnsi="Arial" w:cs="Arial"/>
                <w:b/>
                <w:noProof/>
                <w:color w:val="000000"/>
                <w:lang w:eastAsia="en-GB"/>
              </w:rPr>
              <w:t>£5,332,264.14</w:t>
            </w:r>
          </w:p>
        </w:tc>
      </w:tr>
    </w:tbl>
    <w:p w14:paraId="6618B12F" w14:textId="77777777" w:rsidR="00823BFE" w:rsidRDefault="00823BFE" w:rsidP="00EC04D2">
      <w:pPr>
        <w:pStyle w:val="ListParagraph"/>
        <w:ind w:left="567"/>
        <w:jc w:val="both"/>
        <w:rPr>
          <w:rFonts w:ascii="Arial" w:hAnsi="Arial" w:cs="Arial"/>
          <w:noProof/>
          <w:color w:val="000000"/>
          <w:lang w:eastAsia="en-GB"/>
        </w:rPr>
      </w:pPr>
      <w:r w:rsidRPr="002C1EF2">
        <w:rPr>
          <w:rFonts w:ascii="Arial" w:hAnsi="Arial" w:cs="Arial"/>
          <w:noProof/>
          <w:color w:val="000000"/>
          <w:lang w:eastAsia="en-GB"/>
        </w:rPr>
        <w:t xml:space="preserve"> </w:t>
      </w:r>
    </w:p>
    <w:p w14:paraId="24A6BD2B" w14:textId="77777777" w:rsidR="00F55359" w:rsidRPr="00116B58" w:rsidRDefault="001A0C31" w:rsidP="00F55359">
      <w:pPr>
        <w:rPr>
          <w:rFonts w:ascii="Arial" w:hAnsi="Arial" w:cs="Arial"/>
          <w:i/>
          <w:noProof/>
          <w:color w:val="000000"/>
          <w:lang w:eastAsia="en-GB"/>
        </w:rPr>
      </w:pPr>
      <w:r w:rsidRPr="00116B58">
        <w:rPr>
          <w:rFonts w:ascii="Arial" w:hAnsi="Arial" w:cs="Arial"/>
          <w:i/>
          <w:noProof/>
          <w:color w:val="000000"/>
          <w:lang w:eastAsia="en-GB"/>
        </w:rPr>
        <w:t>Pension Scheme Governance</w:t>
      </w:r>
    </w:p>
    <w:p w14:paraId="2BB3CEFF" w14:textId="77777777" w:rsidR="001A0C31" w:rsidRPr="008A5BF8" w:rsidRDefault="001A0C31" w:rsidP="00F55359">
      <w:pPr>
        <w:rPr>
          <w:rFonts w:cs="Arial"/>
          <w:noProof/>
          <w:color w:val="000000"/>
          <w:lang w:eastAsia="en-GB"/>
        </w:rPr>
      </w:pPr>
    </w:p>
    <w:p w14:paraId="2C18E534" w14:textId="6FB08F02" w:rsidR="005F7A8D" w:rsidRDefault="001A0C31" w:rsidP="00F55359">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 xml:space="preserve">The Pensions Regulator (TPR) </w:t>
      </w:r>
      <w:r w:rsidR="000454AB">
        <w:rPr>
          <w:rFonts w:ascii="Arial" w:hAnsi="Arial" w:cs="Arial"/>
          <w:noProof/>
          <w:color w:val="000000"/>
          <w:lang w:eastAsia="en-GB"/>
        </w:rPr>
        <w:t xml:space="preserve">who </w:t>
      </w:r>
      <w:r>
        <w:rPr>
          <w:rFonts w:ascii="Arial" w:hAnsi="Arial" w:cs="Arial"/>
          <w:noProof/>
          <w:color w:val="000000"/>
          <w:lang w:eastAsia="en-GB"/>
        </w:rPr>
        <w:t>has a statutory duty for regulatory oversight under the Public Service Pensions Act 2013</w:t>
      </w:r>
      <w:r>
        <w:rPr>
          <w:rStyle w:val="FootnoteReference"/>
          <w:rFonts w:ascii="Arial" w:hAnsi="Arial" w:cs="Arial"/>
          <w:noProof/>
          <w:color w:val="000000"/>
          <w:lang w:eastAsia="en-GB"/>
        </w:rPr>
        <w:footnoteReference w:id="3"/>
      </w:r>
      <w:r>
        <w:rPr>
          <w:rFonts w:ascii="Arial" w:hAnsi="Arial" w:cs="Arial"/>
          <w:noProof/>
          <w:color w:val="000000"/>
          <w:lang w:eastAsia="en-GB"/>
        </w:rPr>
        <w:t xml:space="preserve"> for public sector pension schemes </w:t>
      </w:r>
      <w:r w:rsidR="000454AB">
        <w:rPr>
          <w:rFonts w:ascii="Arial" w:hAnsi="Arial" w:cs="Arial"/>
          <w:noProof/>
          <w:color w:val="000000"/>
          <w:lang w:eastAsia="en-GB"/>
        </w:rPr>
        <w:t>undertakes relationship supervision</w:t>
      </w:r>
      <w:r w:rsidR="000454AB">
        <w:rPr>
          <w:rStyle w:val="FootnoteReference"/>
          <w:rFonts w:ascii="Arial" w:hAnsi="Arial" w:cs="Arial"/>
          <w:noProof/>
          <w:color w:val="000000"/>
          <w:lang w:eastAsia="en-GB"/>
        </w:rPr>
        <w:footnoteReference w:id="4"/>
      </w:r>
      <w:r w:rsidR="000454AB">
        <w:rPr>
          <w:rFonts w:ascii="Arial" w:hAnsi="Arial" w:cs="Arial"/>
          <w:noProof/>
          <w:color w:val="000000"/>
          <w:lang w:eastAsia="en-GB"/>
        </w:rPr>
        <w:t xml:space="preserve"> with trustees, managers and sponsoring employers.  Last year they announced their intention to start supervision with the Firefighters Pension Scheme and selected four </w:t>
      </w:r>
      <w:r w:rsidR="00D16AE2">
        <w:rPr>
          <w:rFonts w:ascii="Arial" w:hAnsi="Arial" w:cs="Arial"/>
          <w:noProof/>
          <w:color w:val="000000"/>
          <w:lang w:eastAsia="en-GB"/>
        </w:rPr>
        <w:t>fire and rescue authorities (</w:t>
      </w:r>
      <w:r w:rsidR="000454AB">
        <w:rPr>
          <w:rFonts w:ascii="Arial" w:hAnsi="Arial" w:cs="Arial"/>
          <w:noProof/>
          <w:color w:val="000000"/>
          <w:lang w:eastAsia="en-GB"/>
        </w:rPr>
        <w:t>FRAs</w:t>
      </w:r>
      <w:r w:rsidR="00D16AE2">
        <w:rPr>
          <w:rFonts w:ascii="Arial" w:hAnsi="Arial" w:cs="Arial"/>
          <w:noProof/>
          <w:color w:val="000000"/>
          <w:lang w:eastAsia="en-GB"/>
        </w:rPr>
        <w:t>)</w:t>
      </w:r>
      <w:r w:rsidR="000454AB">
        <w:rPr>
          <w:rFonts w:ascii="Arial" w:hAnsi="Arial" w:cs="Arial"/>
          <w:noProof/>
          <w:color w:val="000000"/>
          <w:lang w:eastAsia="en-GB"/>
        </w:rPr>
        <w:t xml:space="preserve">.  </w:t>
      </w:r>
    </w:p>
    <w:p w14:paraId="521DCA31" w14:textId="77777777" w:rsidR="005F7A8D" w:rsidRDefault="005F7A8D" w:rsidP="00116B58">
      <w:pPr>
        <w:autoSpaceDE w:val="0"/>
        <w:autoSpaceDN w:val="0"/>
        <w:adjustRightInd w:val="0"/>
        <w:ind w:left="567"/>
        <w:jc w:val="both"/>
        <w:rPr>
          <w:rFonts w:ascii="Arial" w:hAnsi="Arial" w:cs="Arial"/>
          <w:noProof/>
          <w:color w:val="000000"/>
          <w:lang w:eastAsia="en-GB"/>
        </w:rPr>
      </w:pPr>
    </w:p>
    <w:p w14:paraId="5BE28C85" w14:textId="77777777" w:rsidR="000454AB" w:rsidRPr="000454AB" w:rsidRDefault="000454AB">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rPr>
        <w:t>The four FRAs have now been selected, with two English FRAs and two devolved and have identified themselves to the Board as suggested by the Regulator. TPR attended the last meeting</w:t>
      </w:r>
      <w:r>
        <w:rPr>
          <w:rStyle w:val="FootnoteReference"/>
          <w:rFonts w:ascii="Arial" w:hAnsi="Arial" w:cs="Arial"/>
        </w:rPr>
        <w:footnoteReference w:id="5"/>
      </w:r>
      <w:r>
        <w:rPr>
          <w:rFonts w:ascii="Arial" w:hAnsi="Arial" w:cs="Arial"/>
        </w:rPr>
        <w:t xml:space="preserve"> of the LPB effectiveness committee to discuss this work. The findings will be </w:t>
      </w:r>
      <w:r>
        <w:rPr>
          <w:rFonts w:ascii="Arial" w:hAnsi="Arial" w:cs="Arial"/>
        </w:rPr>
        <w:lastRenderedPageBreak/>
        <w:t>anonymous and provided only to each FRA, but the secretariat will ask authorities for key points to be fed back.</w:t>
      </w:r>
    </w:p>
    <w:p w14:paraId="1D35B88A" w14:textId="77777777" w:rsidR="000454AB" w:rsidRDefault="000454AB" w:rsidP="000454AB">
      <w:pPr>
        <w:pStyle w:val="ListParagraph"/>
        <w:rPr>
          <w:rFonts w:ascii="Arial" w:hAnsi="Arial" w:cs="Arial"/>
          <w:noProof/>
          <w:color w:val="000000"/>
          <w:lang w:eastAsia="en-GB"/>
        </w:rPr>
      </w:pPr>
    </w:p>
    <w:p w14:paraId="30F54107" w14:textId="77777777" w:rsidR="005F7A8D" w:rsidRPr="005F7A8D" w:rsidRDefault="005F7A8D">
      <w:pPr>
        <w:numPr>
          <w:ilvl w:val="0"/>
          <w:numId w:val="1"/>
        </w:numPr>
        <w:autoSpaceDE w:val="0"/>
        <w:autoSpaceDN w:val="0"/>
        <w:adjustRightInd w:val="0"/>
        <w:ind w:left="567" w:hanging="567"/>
        <w:jc w:val="both"/>
        <w:rPr>
          <w:rFonts w:ascii="Arial" w:hAnsi="Arial" w:cs="Arial"/>
          <w:noProof/>
          <w:color w:val="000000"/>
          <w:lang w:eastAsia="en-GB"/>
        </w:rPr>
      </w:pPr>
      <w:r w:rsidRPr="005F7A8D">
        <w:rPr>
          <w:rFonts w:ascii="Arial" w:hAnsi="Arial" w:cs="Arial"/>
          <w:noProof/>
          <w:color w:val="000000"/>
          <w:lang w:eastAsia="en-GB"/>
        </w:rPr>
        <w:t>Local Pension Boards and Scheme Managers should ensure they have ut</w:t>
      </w:r>
      <w:r w:rsidR="00CF46B3">
        <w:rPr>
          <w:rFonts w:ascii="Arial" w:hAnsi="Arial" w:cs="Arial"/>
          <w:noProof/>
          <w:color w:val="000000"/>
          <w:lang w:eastAsia="en-GB"/>
        </w:rPr>
        <w:t>i</w:t>
      </w:r>
      <w:r w:rsidRPr="005F7A8D">
        <w:rPr>
          <w:rFonts w:ascii="Arial" w:hAnsi="Arial" w:cs="Arial"/>
          <w:noProof/>
          <w:color w:val="000000"/>
          <w:lang w:eastAsia="en-GB"/>
        </w:rPr>
        <w:t>lised the LGA training offer</w:t>
      </w:r>
      <w:r w:rsidR="00CF46B3">
        <w:rPr>
          <w:rStyle w:val="FootnoteReference"/>
          <w:rFonts w:ascii="Arial" w:hAnsi="Arial" w:cs="Arial"/>
          <w:noProof/>
          <w:color w:val="000000"/>
          <w:lang w:eastAsia="en-GB"/>
        </w:rPr>
        <w:footnoteReference w:id="6"/>
      </w:r>
      <w:r w:rsidRPr="005F7A8D">
        <w:rPr>
          <w:rFonts w:ascii="Arial" w:hAnsi="Arial" w:cs="Arial"/>
          <w:noProof/>
          <w:color w:val="000000"/>
          <w:lang w:eastAsia="en-GB"/>
        </w:rPr>
        <w:t xml:space="preserve"> for Scheme Manager and Pension Board Training.</w:t>
      </w:r>
    </w:p>
    <w:p w14:paraId="4BCC7A8A" w14:textId="77777777" w:rsidR="005F7A8D" w:rsidRDefault="005F7A8D" w:rsidP="00116B58">
      <w:pPr>
        <w:pStyle w:val="ListParagraph"/>
        <w:rPr>
          <w:rFonts w:ascii="Arial" w:hAnsi="Arial" w:cs="Arial"/>
          <w:noProof/>
          <w:color w:val="000000"/>
          <w:lang w:eastAsia="en-GB"/>
        </w:rPr>
      </w:pPr>
    </w:p>
    <w:p w14:paraId="7E85E788" w14:textId="77777777" w:rsidR="00F55359" w:rsidRDefault="000454AB" w:rsidP="00116B58">
      <w:pPr>
        <w:numPr>
          <w:ilvl w:val="0"/>
          <w:numId w:val="1"/>
        </w:numPr>
        <w:autoSpaceDE w:val="0"/>
        <w:autoSpaceDN w:val="0"/>
        <w:adjustRightInd w:val="0"/>
        <w:ind w:left="567" w:hanging="567"/>
        <w:jc w:val="both"/>
        <w:rPr>
          <w:rFonts w:ascii="Arial" w:hAnsi="Arial" w:cs="Arial"/>
          <w:noProof/>
          <w:color w:val="000000"/>
          <w:lang w:eastAsia="en-GB"/>
        </w:rPr>
      </w:pPr>
      <w:r>
        <w:rPr>
          <w:rFonts w:ascii="Arial" w:hAnsi="Arial" w:cs="Arial"/>
          <w:noProof/>
          <w:color w:val="000000"/>
          <w:lang w:eastAsia="en-GB"/>
        </w:rPr>
        <w:t>A factsheet on the six key processes TPR use to measure public sector pension scheme performance was published in October 2019</w:t>
      </w:r>
      <w:r>
        <w:rPr>
          <w:rStyle w:val="FootnoteReference"/>
          <w:rFonts w:ascii="Arial" w:hAnsi="Arial" w:cs="Arial"/>
          <w:noProof/>
          <w:color w:val="000000"/>
          <w:lang w:eastAsia="en-GB"/>
        </w:rPr>
        <w:footnoteReference w:id="7"/>
      </w:r>
    </w:p>
    <w:p w14:paraId="72103FB8" w14:textId="77777777" w:rsidR="00EC04D2" w:rsidRDefault="00EC04D2" w:rsidP="00EC04D2">
      <w:pPr>
        <w:pStyle w:val="ListParagraph"/>
        <w:rPr>
          <w:rFonts w:ascii="Arial" w:hAnsi="Arial" w:cs="Arial"/>
          <w:noProof/>
          <w:color w:val="000000"/>
          <w:lang w:eastAsia="en-GB"/>
        </w:rPr>
      </w:pPr>
    </w:p>
    <w:p w14:paraId="746964A9" w14:textId="77777777" w:rsidR="00EC04D2" w:rsidRPr="00D525EE" w:rsidRDefault="00EC04D2" w:rsidP="00EC04D2">
      <w:pPr>
        <w:ind w:left="567" w:hanging="567"/>
        <w:jc w:val="both"/>
        <w:rPr>
          <w:rFonts w:ascii="Arial" w:hAnsi="Arial" w:cs="Arial"/>
          <w:i/>
        </w:rPr>
      </w:pPr>
      <w:r w:rsidRPr="00D525EE">
        <w:rPr>
          <w:rFonts w:ascii="Arial" w:hAnsi="Arial" w:cs="Arial"/>
          <w:i/>
        </w:rPr>
        <w:t xml:space="preserve">Booth v Mid and West Wales [2019] EWHC 790 (Justice </w:t>
      </w:r>
      <w:proofErr w:type="spellStart"/>
      <w:r w:rsidRPr="00D525EE">
        <w:rPr>
          <w:rFonts w:ascii="Arial" w:hAnsi="Arial" w:cs="Arial"/>
          <w:i/>
        </w:rPr>
        <w:t>Fancourt</w:t>
      </w:r>
      <w:proofErr w:type="spellEnd"/>
      <w:r w:rsidRPr="00D525EE">
        <w:rPr>
          <w:rFonts w:ascii="Arial" w:hAnsi="Arial" w:cs="Arial"/>
          <w:i/>
        </w:rPr>
        <w:t>)</w:t>
      </w:r>
    </w:p>
    <w:p w14:paraId="0A479A1D" w14:textId="77777777" w:rsidR="00EC04D2" w:rsidRPr="00D525EE" w:rsidRDefault="00EC04D2" w:rsidP="00EC04D2">
      <w:pPr>
        <w:ind w:left="567" w:hanging="567"/>
        <w:jc w:val="both"/>
        <w:rPr>
          <w:rFonts w:ascii="Arial" w:hAnsi="Arial" w:cs="Arial"/>
          <w:i/>
          <w:lang w:eastAsia="en-GB"/>
        </w:rPr>
      </w:pPr>
    </w:p>
    <w:p w14:paraId="77F0019B" w14:textId="77777777" w:rsidR="00D525EE" w:rsidRPr="00D525EE" w:rsidRDefault="00EC04D2" w:rsidP="00D525EE">
      <w:pPr>
        <w:numPr>
          <w:ilvl w:val="0"/>
          <w:numId w:val="1"/>
        </w:numPr>
        <w:ind w:left="567" w:hanging="567"/>
        <w:contextualSpacing/>
        <w:jc w:val="both"/>
        <w:rPr>
          <w:rFonts w:ascii="Arial" w:hAnsi="Arial" w:cs="Arial"/>
          <w:noProof/>
          <w:lang w:eastAsia="en-GB"/>
        </w:rPr>
      </w:pPr>
      <w:r w:rsidRPr="00D525EE">
        <w:rPr>
          <w:rFonts w:ascii="Arial" w:hAnsi="Arial" w:cs="Arial"/>
          <w:lang w:eastAsia="en-GB"/>
        </w:rPr>
        <w:t xml:space="preserve">This case determined </w:t>
      </w:r>
      <w:r w:rsidR="00D525EE">
        <w:rPr>
          <w:rFonts w:ascii="Arial" w:hAnsi="Arial" w:cs="Arial"/>
          <w:lang w:eastAsia="en-GB"/>
        </w:rPr>
        <w:t xml:space="preserve">whether </w:t>
      </w:r>
      <w:r w:rsidRPr="00D525EE">
        <w:rPr>
          <w:rFonts w:ascii="Arial" w:hAnsi="Arial" w:cs="Arial"/>
          <w:lang w:eastAsia="en-GB"/>
        </w:rPr>
        <w:t>certain types of allowances were pensionable</w:t>
      </w:r>
      <w:r w:rsidR="00D525EE">
        <w:rPr>
          <w:rFonts w:ascii="Arial" w:hAnsi="Arial" w:cs="Arial"/>
          <w:lang w:eastAsia="en-GB"/>
        </w:rPr>
        <w:t xml:space="preserve"> or not.  </w:t>
      </w:r>
      <w:r w:rsidR="00D525EE" w:rsidRPr="00D525EE">
        <w:rPr>
          <w:rFonts w:ascii="Arial" w:hAnsi="Arial" w:cs="Arial"/>
          <w:lang w:eastAsia="en-GB"/>
        </w:rPr>
        <w:t xml:space="preserve">A factsheet that gives the detail of the case can be found </w:t>
      </w:r>
      <w:hyperlink r:id="rId11" w:history="1">
        <w:r w:rsidR="00D525EE" w:rsidRPr="00D525EE">
          <w:rPr>
            <w:rStyle w:val="Hyperlink"/>
            <w:rFonts w:ascii="Arial" w:hAnsi="Arial" w:cs="Arial"/>
            <w:lang w:eastAsia="en-GB"/>
          </w:rPr>
          <w:t>here</w:t>
        </w:r>
      </w:hyperlink>
      <w:r w:rsidR="00D525EE" w:rsidRPr="00D525EE">
        <w:rPr>
          <w:rFonts w:ascii="Arial" w:hAnsi="Arial" w:cs="Arial"/>
          <w:lang w:eastAsia="en-GB"/>
        </w:rPr>
        <w:t xml:space="preserve">. </w:t>
      </w:r>
    </w:p>
    <w:p w14:paraId="4D7A848E" w14:textId="77777777" w:rsidR="00D525EE" w:rsidRDefault="00D525EE" w:rsidP="00D525EE">
      <w:pPr>
        <w:ind w:left="567"/>
        <w:contextualSpacing/>
        <w:jc w:val="both"/>
        <w:rPr>
          <w:rFonts w:ascii="Arial" w:hAnsi="Arial" w:cs="Arial"/>
          <w:lang w:eastAsia="en-GB"/>
        </w:rPr>
      </w:pPr>
    </w:p>
    <w:p w14:paraId="703C0F21" w14:textId="087F36DF" w:rsidR="00D525EE" w:rsidRDefault="00D525EE" w:rsidP="00EC04D2">
      <w:pPr>
        <w:numPr>
          <w:ilvl w:val="0"/>
          <w:numId w:val="1"/>
        </w:numPr>
        <w:ind w:left="567" w:hanging="567"/>
        <w:contextualSpacing/>
        <w:jc w:val="both"/>
        <w:rPr>
          <w:rFonts w:ascii="Arial" w:hAnsi="Arial" w:cs="Arial"/>
          <w:lang w:eastAsia="en-GB"/>
        </w:rPr>
      </w:pPr>
      <w:r>
        <w:rPr>
          <w:rFonts w:ascii="Arial" w:hAnsi="Arial" w:cs="Arial"/>
          <w:lang w:eastAsia="en-GB"/>
        </w:rPr>
        <w:t>HMRC have recently confirmed a tax charge called scheme</w:t>
      </w:r>
      <w:r w:rsidR="00FB1862">
        <w:rPr>
          <w:rFonts w:ascii="Arial" w:hAnsi="Arial" w:cs="Arial"/>
          <w:lang w:eastAsia="en-GB"/>
        </w:rPr>
        <w:t xml:space="preserve"> sanction charge, payable at 15 per cent</w:t>
      </w:r>
      <w:r>
        <w:rPr>
          <w:rFonts w:ascii="Arial" w:hAnsi="Arial" w:cs="Arial"/>
          <w:lang w:eastAsia="en-GB"/>
        </w:rPr>
        <w:t xml:space="preserve"> is payable by th</w:t>
      </w:r>
      <w:bookmarkStart w:id="0" w:name="_GoBack"/>
      <w:bookmarkEnd w:id="0"/>
      <w:r>
        <w:rPr>
          <w:rFonts w:ascii="Arial" w:hAnsi="Arial" w:cs="Arial"/>
          <w:lang w:eastAsia="en-GB"/>
        </w:rPr>
        <w:t>e FRA where rectification payments are deemed unauthorised. Further guidance will be issued to FRAs on rectification of pensionable pay.</w:t>
      </w:r>
    </w:p>
    <w:p w14:paraId="4B1D5322" w14:textId="77777777" w:rsidR="00D525EE" w:rsidRDefault="00D525EE" w:rsidP="00D525EE">
      <w:pPr>
        <w:pStyle w:val="ListParagraph"/>
        <w:rPr>
          <w:rFonts w:ascii="Arial" w:hAnsi="Arial" w:cs="Arial"/>
          <w:lang w:eastAsia="en-GB"/>
        </w:rPr>
      </w:pPr>
    </w:p>
    <w:p w14:paraId="39E6D079" w14:textId="422E5B9A" w:rsidR="00EC04D2" w:rsidRPr="00243BA1" w:rsidRDefault="00EC04D2" w:rsidP="00243BA1">
      <w:pPr>
        <w:numPr>
          <w:ilvl w:val="0"/>
          <w:numId w:val="1"/>
        </w:numPr>
        <w:ind w:left="567" w:hanging="567"/>
        <w:contextualSpacing/>
        <w:jc w:val="both"/>
        <w:rPr>
          <w:rFonts w:ascii="Arial" w:hAnsi="Arial" w:cs="Arial"/>
          <w:lang w:eastAsia="en-GB"/>
        </w:rPr>
      </w:pPr>
      <w:r w:rsidRPr="00D525EE">
        <w:rPr>
          <w:rFonts w:ascii="Arial" w:hAnsi="Arial" w:cs="Arial"/>
          <w:lang w:eastAsia="en-GB"/>
        </w:rPr>
        <w:t>Whether the allowances were pensionable or not depend on a range of factors including the contract of employment</w:t>
      </w:r>
      <w:r w:rsidR="00D525EE">
        <w:rPr>
          <w:rFonts w:ascii="Arial" w:hAnsi="Arial" w:cs="Arial"/>
          <w:lang w:eastAsia="en-GB"/>
        </w:rPr>
        <w:t xml:space="preserve"> and </w:t>
      </w:r>
      <w:r w:rsidR="00D525EE" w:rsidRPr="00D525EE">
        <w:rPr>
          <w:rFonts w:ascii="Arial" w:hAnsi="Arial" w:cs="Arial"/>
          <w:lang w:eastAsia="en-GB"/>
        </w:rPr>
        <w:t xml:space="preserve">Fire Authorities should seek </w:t>
      </w:r>
      <w:r w:rsidR="00D525EE">
        <w:rPr>
          <w:rFonts w:ascii="Arial" w:hAnsi="Arial" w:cs="Arial"/>
          <w:lang w:eastAsia="en-GB"/>
        </w:rPr>
        <w:t xml:space="preserve">assurance there is appropriate governance in place to ensure </w:t>
      </w:r>
      <w:r w:rsidR="00D525EE" w:rsidRPr="00D525EE">
        <w:rPr>
          <w:rFonts w:ascii="Arial" w:hAnsi="Arial" w:cs="Arial"/>
          <w:lang w:eastAsia="en-GB"/>
        </w:rPr>
        <w:t>pensionable pay decisions are made based on the regulations and on current case-law</w:t>
      </w:r>
      <w:r w:rsidRPr="00D525EE">
        <w:rPr>
          <w:rFonts w:ascii="Arial" w:hAnsi="Arial" w:cs="Arial"/>
          <w:lang w:eastAsia="en-GB"/>
        </w:rPr>
        <w:t xml:space="preserve">.  </w:t>
      </w:r>
    </w:p>
    <w:p w14:paraId="66D8832D" w14:textId="77777777" w:rsidR="00823BFE" w:rsidRPr="002C1EF2" w:rsidRDefault="00823BFE" w:rsidP="00823BFE">
      <w:pPr>
        <w:rPr>
          <w:rFonts w:ascii="Arial" w:hAnsi="Arial" w:cs="Arial"/>
          <w:noProof/>
          <w:color w:val="000000"/>
          <w:lang w:eastAsia="en-GB"/>
        </w:rPr>
      </w:pPr>
    </w:p>
    <w:p w14:paraId="34A25A9F" w14:textId="77777777" w:rsidR="006728FE" w:rsidRPr="002C1EF2" w:rsidRDefault="006728FE" w:rsidP="00EF49B1">
      <w:pPr>
        <w:jc w:val="both"/>
        <w:rPr>
          <w:rFonts w:ascii="Arial" w:hAnsi="Arial" w:cs="Arial"/>
          <w:b/>
          <w:color w:val="000000"/>
        </w:rPr>
      </w:pPr>
      <w:r w:rsidRPr="002C1EF2">
        <w:rPr>
          <w:rFonts w:ascii="Arial" w:hAnsi="Arial" w:cs="Arial"/>
          <w:b/>
          <w:color w:val="000000"/>
        </w:rPr>
        <w:t>KEY</w:t>
      </w:r>
      <w:r w:rsidR="00D1628D">
        <w:rPr>
          <w:rFonts w:ascii="Arial" w:hAnsi="Arial" w:cs="Arial"/>
          <w:b/>
          <w:color w:val="000000"/>
        </w:rPr>
        <w:t xml:space="preserve"> CURRENT </w:t>
      </w:r>
      <w:r w:rsidRPr="002C1EF2">
        <w:rPr>
          <w:rFonts w:ascii="Arial" w:hAnsi="Arial" w:cs="Arial"/>
          <w:b/>
          <w:color w:val="000000"/>
        </w:rPr>
        <w:t>WIDER WORKFORCE ISSUES</w:t>
      </w:r>
    </w:p>
    <w:p w14:paraId="537B4F44" w14:textId="77777777" w:rsidR="006728FE" w:rsidRPr="002C1EF2" w:rsidRDefault="006728FE" w:rsidP="004D06FC">
      <w:pPr>
        <w:jc w:val="both"/>
        <w:rPr>
          <w:rFonts w:ascii="Arial" w:hAnsi="Arial" w:cs="Arial"/>
          <w:b/>
          <w:color w:val="000000"/>
        </w:rPr>
      </w:pPr>
    </w:p>
    <w:p w14:paraId="3C9CC4D0" w14:textId="77777777" w:rsidR="0047481C" w:rsidRDefault="0047481C">
      <w:pPr>
        <w:rPr>
          <w:rFonts w:ascii="Arial" w:hAnsi="Arial" w:cs="Arial"/>
          <w:i/>
          <w:lang w:eastAsia="en-GB"/>
        </w:rPr>
      </w:pPr>
      <w:r>
        <w:rPr>
          <w:rFonts w:ascii="Arial" w:hAnsi="Arial" w:cs="Arial"/>
          <w:i/>
          <w:lang w:eastAsia="en-GB"/>
        </w:rPr>
        <w:t>Inclusive Fire Service Group</w:t>
      </w:r>
    </w:p>
    <w:p w14:paraId="6537229F" w14:textId="77777777" w:rsidR="0047481C" w:rsidRDefault="0047481C">
      <w:pPr>
        <w:rPr>
          <w:rFonts w:ascii="Arial" w:hAnsi="Arial" w:cs="Arial"/>
          <w:i/>
          <w:lang w:eastAsia="en-GB"/>
        </w:rPr>
      </w:pPr>
    </w:p>
    <w:p w14:paraId="0F381D68" w14:textId="7E6771BC" w:rsidR="00B77379" w:rsidRDefault="0047481C" w:rsidP="00925184">
      <w:pPr>
        <w:pStyle w:val="ListParagraph"/>
        <w:numPr>
          <w:ilvl w:val="0"/>
          <w:numId w:val="1"/>
        </w:numPr>
        <w:jc w:val="both"/>
        <w:rPr>
          <w:rFonts w:ascii="Arial" w:hAnsi="Arial" w:cs="Arial"/>
          <w:lang w:eastAsia="en-GB"/>
        </w:rPr>
      </w:pPr>
      <w:r w:rsidRPr="0047481C">
        <w:rPr>
          <w:rFonts w:ascii="Arial" w:hAnsi="Arial" w:cs="Arial"/>
          <w:lang w:eastAsia="en-GB"/>
        </w:rPr>
        <w:t>The Inclusive Fire Service Group (IFSG) is an NJC</w:t>
      </w:r>
      <w:r>
        <w:rPr>
          <w:rFonts w:ascii="Arial" w:hAnsi="Arial" w:cs="Arial"/>
          <w:lang w:eastAsia="en-GB"/>
        </w:rPr>
        <w:t xml:space="preserve"> for Local Authority Fire and Rescue Services </w:t>
      </w:r>
      <w:r w:rsidRPr="0047481C">
        <w:rPr>
          <w:rFonts w:ascii="Arial" w:hAnsi="Arial" w:cs="Arial"/>
          <w:lang w:eastAsia="en-GB"/>
        </w:rPr>
        <w:t xml:space="preserve">led group. Its membership </w:t>
      </w:r>
      <w:r>
        <w:rPr>
          <w:rFonts w:ascii="Arial" w:hAnsi="Arial" w:cs="Arial"/>
          <w:lang w:eastAsia="en-GB"/>
        </w:rPr>
        <w:t xml:space="preserve">however </w:t>
      </w:r>
      <w:r w:rsidR="00B503DC">
        <w:rPr>
          <w:rFonts w:ascii="Arial" w:hAnsi="Arial" w:cs="Arial"/>
          <w:lang w:eastAsia="en-GB"/>
        </w:rPr>
        <w:t xml:space="preserve">is wider and </w:t>
      </w:r>
      <w:r w:rsidRPr="0047481C">
        <w:rPr>
          <w:rFonts w:ascii="Arial" w:hAnsi="Arial" w:cs="Arial"/>
          <w:lang w:eastAsia="en-GB"/>
        </w:rPr>
        <w:t>includes the National Employers, NFCC,</w:t>
      </w:r>
      <w:r>
        <w:rPr>
          <w:rFonts w:ascii="Arial" w:hAnsi="Arial" w:cs="Arial"/>
          <w:lang w:eastAsia="en-GB"/>
        </w:rPr>
        <w:t xml:space="preserve"> </w:t>
      </w:r>
      <w:r w:rsidR="00D16AE2">
        <w:rPr>
          <w:rFonts w:ascii="Arial" w:hAnsi="Arial" w:cs="Arial"/>
          <w:lang w:eastAsia="en-GB"/>
        </w:rPr>
        <w:t xml:space="preserve">the </w:t>
      </w:r>
      <w:r w:rsidRPr="0047481C">
        <w:rPr>
          <w:rFonts w:ascii="Arial" w:hAnsi="Arial" w:cs="Arial"/>
          <w:lang w:eastAsia="en-GB"/>
        </w:rPr>
        <w:t>F</w:t>
      </w:r>
      <w:r w:rsidR="00D16AE2">
        <w:rPr>
          <w:rFonts w:ascii="Arial" w:hAnsi="Arial" w:cs="Arial"/>
          <w:lang w:eastAsia="en-GB"/>
        </w:rPr>
        <w:t xml:space="preserve">ire </w:t>
      </w:r>
      <w:r w:rsidRPr="0047481C">
        <w:rPr>
          <w:rFonts w:ascii="Arial" w:hAnsi="Arial" w:cs="Arial"/>
          <w:lang w:eastAsia="en-GB"/>
        </w:rPr>
        <w:t>B</w:t>
      </w:r>
      <w:r w:rsidR="00D16AE2">
        <w:rPr>
          <w:rFonts w:ascii="Arial" w:hAnsi="Arial" w:cs="Arial"/>
          <w:lang w:eastAsia="en-GB"/>
        </w:rPr>
        <w:t xml:space="preserve">rigades </w:t>
      </w:r>
      <w:r w:rsidRPr="0047481C">
        <w:rPr>
          <w:rFonts w:ascii="Arial" w:hAnsi="Arial" w:cs="Arial"/>
          <w:lang w:eastAsia="en-GB"/>
        </w:rPr>
        <w:t>U</w:t>
      </w:r>
      <w:r w:rsidR="00D16AE2">
        <w:rPr>
          <w:rFonts w:ascii="Arial" w:hAnsi="Arial" w:cs="Arial"/>
          <w:lang w:eastAsia="en-GB"/>
        </w:rPr>
        <w:t>nion (FBU)</w:t>
      </w:r>
      <w:r w:rsidRPr="0047481C">
        <w:rPr>
          <w:rFonts w:ascii="Arial" w:hAnsi="Arial" w:cs="Arial"/>
          <w:lang w:eastAsia="en-GB"/>
        </w:rPr>
        <w:t xml:space="preserve">, </w:t>
      </w:r>
      <w:r w:rsidR="00D16AE2">
        <w:rPr>
          <w:rFonts w:ascii="Arial" w:hAnsi="Arial" w:cs="Arial"/>
          <w:lang w:eastAsia="en-GB"/>
        </w:rPr>
        <w:t>the Fire Officers Association (</w:t>
      </w:r>
      <w:r w:rsidRPr="0047481C">
        <w:rPr>
          <w:rFonts w:ascii="Arial" w:hAnsi="Arial" w:cs="Arial"/>
          <w:lang w:eastAsia="en-GB"/>
        </w:rPr>
        <w:t>FOA</w:t>
      </w:r>
      <w:r w:rsidR="00D16AE2">
        <w:rPr>
          <w:rFonts w:ascii="Arial" w:hAnsi="Arial" w:cs="Arial"/>
          <w:lang w:eastAsia="en-GB"/>
        </w:rPr>
        <w:t>)</w:t>
      </w:r>
      <w:r w:rsidRPr="0047481C">
        <w:rPr>
          <w:rFonts w:ascii="Arial" w:hAnsi="Arial" w:cs="Arial"/>
          <w:lang w:eastAsia="en-GB"/>
        </w:rPr>
        <w:t xml:space="preserve"> and the F</w:t>
      </w:r>
      <w:r w:rsidR="00D16AE2">
        <w:rPr>
          <w:rFonts w:ascii="Arial" w:hAnsi="Arial" w:cs="Arial"/>
          <w:lang w:eastAsia="en-GB"/>
        </w:rPr>
        <w:t xml:space="preserve">ire and </w:t>
      </w:r>
      <w:r w:rsidRPr="0047481C">
        <w:rPr>
          <w:rFonts w:ascii="Arial" w:hAnsi="Arial" w:cs="Arial"/>
          <w:lang w:eastAsia="en-GB"/>
        </w:rPr>
        <w:t>R</w:t>
      </w:r>
      <w:r w:rsidR="00D16AE2">
        <w:rPr>
          <w:rFonts w:ascii="Arial" w:hAnsi="Arial" w:cs="Arial"/>
          <w:lang w:eastAsia="en-GB"/>
        </w:rPr>
        <w:t xml:space="preserve">escue </w:t>
      </w:r>
      <w:r w:rsidRPr="0047481C">
        <w:rPr>
          <w:rFonts w:ascii="Arial" w:hAnsi="Arial" w:cs="Arial"/>
          <w:lang w:eastAsia="en-GB"/>
        </w:rPr>
        <w:t>S</w:t>
      </w:r>
      <w:r w:rsidR="00D16AE2">
        <w:rPr>
          <w:rFonts w:ascii="Arial" w:hAnsi="Arial" w:cs="Arial"/>
          <w:lang w:eastAsia="en-GB"/>
        </w:rPr>
        <w:t xml:space="preserve">ervices </w:t>
      </w:r>
      <w:r w:rsidRPr="0047481C">
        <w:rPr>
          <w:rFonts w:ascii="Arial" w:hAnsi="Arial" w:cs="Arial"/>
          <w:lang w:eastAsia="en-GB"/>
        </w:rPr>
        <w:t>A</w:t>
      </w:r>
      <w:r w:rsidR="00D16AE2">
        <w:rPr>
          <w:rFonts w:ascii="Arial" w:hAnsi="Arial" w:cs="Arial"/>
          <w:lang w:eastAsia="en-GB"/>
        </w:rPr>
        <w:t>ssociation (FRSA)</w:t>
      </w:r>
      <w:r>
        <w:rPr>
          <w:rFonts w:ascii="Arial" w:hAnsi="Arial" w:cs="Arial"/>
          <w:lang w:eastAsia="en-GB"/>
        </w:rPr>
        <w:t>. It is unique in that it co</w:t>
      </w:r>
      <w:r w:rsidR="00B503DC">
        <w:rPr>
          <w:rFonts w:ascii="Arial" w:hAnsi="Arial" w:cs="Arial"/>
          <w:lang w:eastAsia="en-GB"/>
        </w:rPr>
        <w:t>mprises</w:t>
      </w:r>
      <w:r>
        <w:rPr>
          <w:rFonts w:ascii="Arial" w:hAnsi="Arial" w:cs="Arial"/>
          <w:lang w:eastAsia="en-GB"/>
        </w:rPr>
        <w:t xml:space="preserve"> national employer and employee representation, senior management and trade unions</w:t>
      </w:r>
      <w:r w:rsidR="00B503DC">
        <w:rPr>
          <w:rFonts w:ascii="Arial" w:hAnsi="Arial" w:cs="Arial"/>
          <w:lang w:eastAsia="en-GB"/>
        </w:rPr>
        <w:t>. It considers</w:t>
      </w:r>
      <w:r>
        <w:rPr>
          <w:rFonts w:ascii="Arial" w:hAnsi="Arial" w:cs="Arial"/>
          <w:lang w:eastAsia="en-GB"/>
        </w:rPr>
        <w:t xml:space="preserve"> matters such as equality, diversity, inclusion and </w:t>
      </w:r>
      <w:r w:rsidR="00B77379">
        <w:rPr>
          <w:rFonts w:ascii="Arial" w:hAnsi="Arial" w:cs="Arial"/>
          <w:lang w:eastAsia="en-GB"/>
        </w:rPr>
        <w:t>cultural</w:t>
      </w:r>
      <w:r w:rsidR="00B503DC">
        <w:rPr>
          <w:rFonts w:ascii="Arial" w:hAnsi="Arial" w:cs="Arial"/>
          <w:lang w:eastAsia="en-GB"/>
        </w:rPr>
        <w:t xml:space="preserve"> issues in the fire service with the aim of securing improvement.</w:t>
      </w:r>
      <w:r w:rsidR="00B77379">
        <w:rPr>
          <w:rFonts w:ascii="Arial" w:hAnsi="Arial" w:cs="Arial"/>
          <w:lang w:eastAsia="en-GB"/>
        </w:rPr>
        <w:t xml:space="preserve"> </w:t>
      </w:r>
    </w:p>
    <w:p w14:paraId="76CCEAFB" w14:textId="77777777" w:rsidR="00B77379" w:rsidRDefault="00B77379" w:rsidP="00D1628D">
      <w:pPr>
        <w:pStyle w:val="ListParagraph"/>
        <w:ind w:left="567"/>
        <w:jc w:val="both"/>
        <w:rPr>
          <w:rFonts w:ascii="Arial" w:hAnsi="Arial" w:cs="Arial"/>
          <w:lang w:eastAsia="en-GB"/>
        </w:rPr>
      </w:pPr>
    </w:p>
    <w:p w14:paraId="2E5F94F9" w14:textId="77777777" w:rsidR="00B77379" w:rsidRDefault="00B77379" w:rsidP="00925184">
      <w:pPr>
        <w:pStyle w:val="ListParagraph"/>
        <w:numPr>
          <w:ilvl w:val="0"/>
          <w:numId w:val="1"/>
        </w:numPr>
        <w:jc w:val="both"/>
        <w:rPr>
          <w:rFonts w:ascii="Arial" w:hAnsi="Arial" w:cs="Arial"/>
          <w:lang w:eastAsia="en-GB"/>
        </w:rPr>
      </w:pPr>
      <w:r>
        <w:rPr>
          <w:rFonts w:ascii="Arial" w:hAnsi="Arial" w:cs="Arial"/>
          <w:lang w:eastAsia="en-GB"/>
        </w:rPr>
        <w:t xml:space="preserve">It </w:t>
      </w:r>
      <w:r w:rsidR="00B503DC">
        <w:rPr>
          <w:rFonts w:ascii="Arial" w:hAnsi="Arial" w:cs="Arial"/>
          <w:lang w:eastAsia="en-GB"/>
        </w:rPr>
        <w:t xml:space="preserve">has undertaken </w:t>
      </w:r>
      <w:r w:rsidR="0047481C">
        <w:rPr>
          <w:rFonts w:ascii="Arial" w:hAnsi="Arial" w:cs="Arial"/>
          <w:lang w:eastAsia="en-GB"/>
        </w:rPr>
        <w:t xml:space="preserve">extensive </w:t>
      </w:r>
      <w:r>
        <w:rPr>
          <w:rFonts w:ascii="Arial" w:hAnsi="Arial" w:cs="Arial"/>
          <w:lang w:eastAsia="en-GB"/>
        </w:rPr>
        <w:t xml:space="preserve">UK-wide </w:t>
      </w:r>
      <w:r w:rsidR="0047481C">
        <w:rPr>
          <w:rFonts w:ascii="Arial" w:hAnsi="Arial" w:cs="Arial"/>
          <w:lang w:eastAsia="en-GB"/>
        </w:rPr>
        <w:t xml:space="preserve">research to identify </w:t>
      </w:r>
      <w:r>
        <w:rPr>
          <w:rFonts w:ascii="Arial" w:hAnsi="Arial" w:cs="Arial"/>
          <w:lang w:eastAsia="en-GB"/>
        </w:rPr>
        <w:t xml:space="preserve">a robust </w:t>
      </w:r>
      <w:r w:rsidR="0047481C">
        <w:rPr>
          <w:rFonts w:ascii="Arial" w:hAnsi="Arial" w:cs="Arial"/>
          <w:lang w:eastAsia="en-GB"/>
        </w:rPr>
        <w:t>evidence base</w:t>
      </w:r>
      <w:r w:rsidR="00B503DC">
        <w:rPr>
          <w:rFonts w:ascii="Arial" w:hAnsi="Arial" w:cs="Arial"/>
          <w:lang w:eastAsia="en-GB"/>
        </w:rPr>
        <w:t xml:space="preserve">. </w:t>
      </w:r>
      <w:r>
        <w:rPr>
          <w:rFonts w:ascii="Arial" w:hAnsi="Arial" w:cs="Arial"/>
          <w:lang w:eastAsia="en-GB"/>
        </w:rPr>
        <w:t xml:space="preserve">This </w:t>
      </w:r>
      <w:r w:rsidR="00B503DC">
        <w:rPr>
          <w:rFonts w:ascii="Arial" w:hAnsi="Arial" w:cs="Arial"/>
          <w:lang w:eastAsia="en-GB"/>
        </w:rPr>
        <w:t xml:space="preserve">has </w:t>
      </w:r>
      <w:r>
        <w:rPr>
          <w:rFonts w:ascii="Arial" w:hAnsi="Arial" w:cs="Arial"/>
          <w:lang w:eastAsia="en-GB"/>
        </w:rPr>
        <w:t>included use of existing and new</w:t>
      </w:r>
      <w:r w:rsidR="00B503DC">
        <w:rPr>
          <w:rFonts w:ascii="Arial" w:hAnsi="Arial" w:cs="Arial"/>
          <w:lang w:eastAsia="en-GB"/>
        </w:rPr>
        <w:t>ly commissioned</w:t>
      </w:r>
      <w:r>
        <w:rPr>
          <w:rFonts w:ascii="Arial" w:hAnsi="Arial" w:cs="Arial"/>
          <w:lang w:eastAsia="en-GB"/>
        </w:rPr>
        <w:t xml:space="preserve"> data</w:t>
      </w:r>
      <w:r w:rsidR="00B503DC">
        <w:rPr>
          <w:rFonts w:ascii="Arial" w:hAnsi="Arial" w:cs="Arial"/>
          <w:lang w:eastAsia="en-GB"/>
        </w:rPr>
        <w:t xml:space="preserve">, </w:t>
      </w:r>
      <w:r>
        <w:rPr>
          <w:rFonts w:ascii="Arial" w:hAnsi="Arial" w:cs="Arial"/>
          <w:lang w:eastAsia="en-GB"/>
        </w:rPr>
        <w:t>surveys of FRSs and their employees, employee focus groups (female, BME and LGBT) and two types of workshops. The f</w:t>
      </w:r>
      <w:r w:rsidR="00B503DC">
        <w:rPr>
          <w:rFonts w:ascii="Arial" w:hAnsi="Arial" w:cs="Arial"/>
          <w:lang w:eastAsia="en-GB"/>
        </w:rPr>
        <w:t>irst involved FRS Equality and D</w:t>
      </w:r>
      <w:r>
        <w:rPr>
          <w:rFonts w:ascii="Arial" w:hAnsi="Arial" w:cs="Arial"/>
          <w:lang w:eastAsia="en-GB"/>
        </w:rPr>
        <w:t xml:space="preserve">iversity Officers (or leads) and local union representatives. The second involved Chief Fire Officers. </w:t>
      </w:r>
    </w:p>
    <w:p w14:paraId="23E2DC9D" w14:textId="77777777" w:rsidR="00B77379" w:rsidRPr="00B77379" w:rsidRDefault="00B77379" w:rsidP="00D1628D">
      <w:pPr>
        <w:pStyle w:val="ListParagraph"/>
        <w:jc w:val="both"/>
        <w:rPr>
          <w:rFonts w:ascii="Arial" w:hAnsi="Arial" w:cs="Arial"/>
          <w:lang w:eastAsia="en-GB"/>
        </w:rPr>
      </w:pPr>
    </w:p>
    <w:p w14:paraId="513649CD" w14:textId="77777777" w:rsidR="0047481C" w:rsidRDefault="00B77379" w:rsidP="00925184">
      <w:pPr>
        <w:pStyle w:val="ListParagraph"/>
        <w:numPr>
          <w:ilvl w:val="0"/>
          <w:numId w:val="1"/>
        </w:numPr>
        <w:jc w:val="both"/>
        <w:rPr>
          <w:rFonts w:ascii="Arial" w:hAnsi="Arial" w:cs="Arial"/>
          <w:lang w:eastAsia="en-GB"/>
        </w:rPr>
      </w:pPr>
      <w:r w:rsidRPr="00D1628D">
        <w:rPr>
          <w:rFonts w:ascii="Arial" w:hAnsi="Arial" w:cs="Arial"/>
          <w:lang w:eastAsia="en-GB"/>
        </w:rPr>
        <w:t>A number of improvement strategies were subsequently issued to services and authorities. More</w:t>
      </w:r>
      <w:r w:rsidR="0047481C" w:rsidRPr="00D1628D">
        <w:rPr>
          <w:rFonts w:ascii="Arial" w:hAnsi="Arial" w:cs="Arial"/>
          <w:lang w:eastAsia="en-GB"/>
        </w:rPr>
        <w:t xml:space="preserve"> information can be found </w:t>
      </w:r>
      <w:r w:rsidR="00D1628D" w:rsidRPr="00D1628D">
        <w:rPr>
          <w:rFonts w:ascii="Arial" w:hAnsi="Arial" w:cs="Arial"/>
          <w:lang w:eastAsia="en-GB"/>
        </w:rPr>
        <w:t xml:space="preserve">in circular </w:t>
      </w:r>
      <w:hyperlink r:id="rId12" w:history="1">
        <w:r w:rsidR="0047481C" w:rsidRPr="00D1628D">
          <w:rPr>
            <w:rStyle w:val="Hyperlink"/>
            <w:rFonts w:ascii="Arial" w:hAnsi="Arial" w:cs="Arial"/>
            <w:lang w:eastAsia="en-GB"/>
          </w:rPr>
          <w:t>NJC/1/18</w:t>
        </w:r>
      </w:hyperlink>
      <w:r w:rsidR="00D1628D" w:rsidRPr="00D1628D">
        <w:rPr>
          <w:rFonts w:ascii="Arial" w:hAnsi="Arial" w:cs="Arial"/>
          <w:lang w:eastAsia="en-GB"/>
        </w:rPr>
        <w:t xml:space="preserve">. </w:t>
      </w:r>
      <w:r w:rsidR="00D1628D">
        <w:rPr>
          <w:rFonts w:ascii="Arial" w:hAnsi="Arial" w:cs="Arial"/>
          <w:lang w:eastAsia="en-GB"/>
        </w:rPr>
        <w:t>(The areas of weakness identified by the group bear a strong similarity to those more recently also identified by HMICFRS).</w:t>
      </w:r>
    </w:p>
    <w:p w14:paraId="2ABA245A" w14:textId="77777777" w:rsidR="00D1628D" w:rsidRPr="00D1628D" w:rsidRDefault="00D1628D" w:rsidP="00D1628D">
      <w:pPr>
        <w:jc w:val="both"/>
        <w:rPr>
          <w:rFonts w:ascii="Arial" w:hAnsi="Arial" w:cs="Arial"/>
          <w:lang w:eastAsia="en-GB"/>
        </w:rPr>
      </w:pPr>
    </w:p>
    <w:p w14:paraId="4211533B" w14:textId="77777777" w:rsidR="00CF46B3" w:rsidRDefault="00D1628D" w:rsidP="00925184">
      <w:pPr>
        <w:pStyle w:val="ListParagraph"/>
        <w:numPr>
          <w:ilvl w:val="0"/>
          <w:numId w:val="1"/>
        </w:numPr>
        <w:jc w:val="both"/>
        <w:rPr>
          <w:rFonts w:ascii="Arial" w:hAnsi="Arial" w:cs="Arial"/>
          <w:lang w:eastAsia="en-GB"/>
        </w:rPr>
      </w:pPr>
      <w:r>
        <w:rPr>
          <w:rFonts w:ascii="Arial" w:hAnsi="Arial" w:cs="Arial"/>
          <w:lang w:eastAsia="en-GB"/>
        </w:rPr>
        <w:t>The strategies were widely welcomed with virtually all services indicating their support</w:t>
      </w:r>
      <w:r w:rsidR="00A075CC">
        <w:rPr>
          <w:rFonts w:ascii="Arial" w:hAnsi="Arial" w:cs="Arial"/>
          <w:lang w:eastAsia="en-GB"/>
        </w:rPr>
        <w:t xml:space="preserve"> including timescales within which they expected to see improvement</w:t>
      </w:r>
      <w:r>
        <w:rPr>
          <w:rFonts w:ascii="Arial" w:hAnsi="Arial" w:cs="Arial"/>
          <w:lang w:eastAsia="en-GB"/>
        </w:rPr>
        <w:t xml:space="preserve">. </w:t>
      </w:r>
      <w:r w:rsidR="0047481C" w:rsidRPr="0047481C">
        <w:rPr>
          <w:rFonts w:ascii="Arial" w:hAnsi="Arial" w:cs="Arial"/>
          <w:lang w:eastAsia="en-GB"/>
        </w:rPr>
        <w:t xml:space="preserve">The </w:t>
      </w:r>
      <w:r>
        <w:rPr>
          <w:rFonts w:ascii="Arial" w:hAnsi="Arial" w:cs="Arial"/>
          <w:lang w:eastAsia="en-GB"/>
        </w:rPr>
        <w:t xml:space="preserve">IFSG </w:t>
      </w:r>
      <w:r w:rsidR="0047481C" w:rsidRPr="0047481C">
        <w:rPr>
          <w:rFonts w:ascii="Arial" w:hAnsi="Arial" w:cs="Arial"/>
          <w:lang w:eastAsia="en-GB"/>
        </w:rPr>
        <w:t>resolved to monitor and measure use of the improvement strategies at a point when they should be embedded into each service.</w:t>
      </w:r>
      <w:r>
        <w:rPr>
          <w:rFonts w:ascii="Arial" w:hAnsi="Arial" w:cs="Arial"/>
          <w:lang w:eastAsia="en-GB"/>
        </w:rPr>
        <w:t xml:space="preserve"> </w:t>
      </w:r>
    </w:p>
    <w:p w14:paraId="2DB2E3AA" w14:textId="77777777" w:rsidR="00B77379" w:rsidRPr="00B77379" w:rsidRDefault="00B77379" w:rsidP="00D1628D">
      <w:pPr>
        <w:pStyle w:val="ListParagraph"/>
        <w:jc w:val="both"/>
        <w:rPr>
          <w:rFonts w:ascii="Arial" w:hAnsi="Arial" w:cs="Arial"/>
          <w:lang w:eastAsia="en-GB"/>
        </w:rPr>
      </w:pPr>
    </w:p>
    <w:p w14:paraId="42D4B372" w14:textId="77777777" w:rsidR="00B77379" w:rsidRDefault="00A075CC" w:rsidP="00925184">
      <w:pPr>
        <w:pStyle w:val="ListParagraph"/>
        <w:numPr>
          <w:ilvl w:val="0"/>
          <w:numId w:val="1"/>
        </w:numPr>
        <w:jc w:val="both"/>
        <w:rPr>
          <w:rFonts w:ascii="Arial" w:hAnsi="Arial" w:cs="Arial"/>
          <w:lang w:eastAsia="en-GB"/>
        </w:rPr>
      </w:pPr>
      <w:r w:rsidRPr="00A075CC">
        <w:rPr>
          <w:rFonts w:ascii="Arial" w:hAnsi="Arial" w:cs="Arial"/>
          <w:lang w:eastAsia="en-GB"/>
        </w:rPr>
        <w:t>Accordingly</w:t>
      </w:r>
      <w:r w:rsidR="00D1628D" w:rsidRPr="00A075CC">
        <w:rPr>
          <w:rFonts w:ascii="Arial" w:hAnsi="Arial" w:cs="Arial"/>
          <w:lang w:eastAsia="en-GB"/>
        </w:rPr>
        <w:t>, the IFSG</w:t>
      </w:r>
      <w:r w:rsidR="00B77379" w:rsidRPr="00A075CC">
        <w:rPr>
          <w:rFonts w:ascii="Arial" w:hAnsi="Arial" w:cs="Arial"/>
          <w:lang w:eastAsia="en-GB"/>
        </w:rPr>
        <w:t xml:space="preserve"> is currently undertaking a </w:t>
      </w:r>
      <w:r w:rsidR="00D1628D" w:rsidRPr="00A075CC">
        <w:rPr>
          <w:rFonts w:ascii="Arial" w:hAnsi="Arial" w:cs="Arial"/>
          <w:lang w:eastAsia="en-GB"/>
        </w:rPr>
        <w:t xml:space="preserve">further </w:t>
      </w:r>
      <w:r w:rsidR="00B77379" w:rsidRPr="00A075CC">
        <w:rPr>
          <w:rFonts w:ascii="Arial" w:hAnsi="Arial" w:cs="Arial"/>
          <w:lang w:eastAsia="en-GB"/>
        </w:rPr>
        <w:t>survey of services and re-running focus groups and workshops</w:t>
      </w:r>
      <w:r w:rsidR="00D1628D" w:rsidRPr="00A075CC">
        <w:rPr>
          <w:rFonts w:ascii="Arial" w:hAnsi="Arial" w:cs="Arial"/>
          <w:lang w:eastAsia="en-GB"/>
        </w:rPr>
        <w:t xml:space="preserve">, this time exploring the use and impact of the strategies and suggested </w:t>
      </w:r>
      <w:r w:rsidRPr="00A075CC">
        <w:rPr>
          <w:rFonts w:ascii="Arial" w:hAnsi="Arial" w:cs="Arial"/>
          <w:lang w:eastAsia="en-GB"/>
        </w:rPr>
        <w:t xml:space="preserve">ideas to improve. The outcomes will then be considered by the IFSG </w:t>
      </w:r>
      <w:r w:rsidR="00B503DC">
        <w:rPr>
          <w:rFonts w:ascii="Arial" w:hAnsi="Arial" w:cs="Arial"/>
          <w:lang w:eastAsia="en-GB"/>
        </w:rPr>
        <w:t xml:space="preserve">in developing next steps </w:t>
      </w:r>
      <w:r w:rsidRPr="00A075CC">
        <w:rPr>
          <w:rFonts w:ascii="Arial" w:hAnsi="Arial" w:cs="Arial"/>
          <w:lang w:eastAsia="en-GB"/>
        </w:rPr>
        <w:t xml:space="preserve">and </w:t>
      </w:r>
      <w:r w:rsidR="00D1628D" w:rsidRPr="00A075CC">
        <w:rPr>
          <w:rFonts w:ascii="Arial" w:hAnsi="Arial" w:cs="Arial"/>
          <w:lang w:eastAsia="en-GB"/>
        </w:rPr>
        <w:t>will also be useful for complementary work taking place elsewhere such as that of the NFCC.</w:t>
      </w:r>
    </w:p>
    <w:p w14:paraId="74F4E936" w14:textId="77777777" w:rsidR="00B503DC" w:rsidRDefault="00B503DC" w:rsidP="00B503DC">
      <w:pPr>
        <w:pStyle w:val="ListParagraph"/>
        <w:rPr>
          <w:rFonts w:ascii="Arial" w:hAnsi="Arial" w:cs="Arial"/>
          <w:lang w:eastAsia="en-GB"/>
        </w:rPr>
      </w:pPr>
    </w:p>
    <w:p w14:paraId="72A3C3C9" w14:textId="14F87E48" w:rsidR="00B503DC" w:rsidRPr="003E0D24" w:rsidRDefault="00B503DC" w:rsidP="00B503DC">
      <w:pPr>
        <w:pStyle w:val="ListParagraph"/>
        <w:ind w:left="0"/>
        <w:jc w:val="both"/>
        <w:rPr>
          <w:rStyle w:val="ReportTemplate"/>
          <w:rFonts w:ascii="Arial" w:hAnsi="Arial" w:cs="Arial"/>
          <w:i/>
          <w:noProof/>
          <w:lang w:eastAsia="en-GB"/>
        </w:rPr>
      </w:pPr>
      <w:r w:rsidRPr="003E0D24">
        <w:rPr>
          <w:rStyle w:val="ReportTemplate"/>
          <w:rFonts w:ascii="Arial" w:hAnsi="Arial" w:cs="Arial"/>
          <w:i/>
          <w:noProof/>
          <w:lang w:eastAsia="en-GB"/>
        </w:rPr>
        <w:t xml:space="preserve">Pension Scheme Transitional Protection Arrangements Discrimination </w:t>
      </w:r>
      <w:r w:rsidR="00CE1AFF" w:rsidRPr="003E0D24">
        <w:rPr>
          <w:rStyle w:val="ReportTemplate"/>
          <w:rFonts w:ascii="Arial" w:hAnsi="Arial" w:cs="Arial"/>
          <w:i/>
          <w:noProof/>
          <w:lang w:eastAsia="en-GB"/>
        </w:rPr>
        <w:t>C</w:t>
      </w:r>
      <w:r w:rsidR="00CE1AFF">
        <w:rPr>
          <w:rStyle w:val="ReportTemplate"/>
          <w:rFonts w:ascii="Arial" w:hAnsi="Arial" w:cs="Arial"/>
          <w:i/>
          <w:noProof/>
          <w:lang w:eastAsia="en-GB"/>
        </w:rPr>
        <w:t>ases</w:t>
      </w:r>
    </w:p>
    <w:p w14:paraId="0F9AE9F0" w14:textId="77777777" w:rsidR="00B503DC" w:rsidRPr="00B503DC" w:rsidRDefault="00B503DC" w:rsidP="00B503DC">
      <w:pPr>
        <w:pStyle w:val="ListParagraph"/>
        <w:rPr>
          <w:rFonts w:ascii="Arial" w:hAnsi="Arial" w:cs="Arial"/>
          <w:lang w:eastAsia="en-GB"/>
        </w:rPr>
      </w:pPr>
    </w:p>
    <w:p w14:paraId="450D4FAA" w14:textId="1C11432F" w:rsidR="000D644C" w:rsidRPr="00B503DC" w:rsidRDefault="000D644C" w:rsidP="00925184">
      <w:pPr>
        <w:pStyle w:val="ListParagraph"/>
        <w:numPr>
          <w:ilvl w:val="0"/>
          <w:numId w:val="1"/>
        </w:numPr>
        <w:jc w:val="both"/>
        <w:rPr>
          <w:rFonts w:ascii="Arial" w:hAnsi="Arial" w:cs="Arial"/>
          <w:lang w:eastAsia="en-GB"/>
        </w:rPr>
      </w:pPr>
      <w:r w:rsidRPr="00B503DC">
        <w:rPr>
          <w:rFonts w:ascii="Arial" w:hAnsi="Arial" w:cs="Arial"/>
        </w:rPr>
        <w:t xml:space="preserve">These </w:t>
      </w:r>
      <w:r w:rsidR="00CE1AFF">
        <w:rPr>
          <w:rFonts w:ascii="Arial" w:hAnsi="Arial" w:cs="Arial"/>
        </w:rPr>
        <w:t>cases</w:t>
      </w:r>
      <w:r w:rsidR="00CE1AFF" w:rsidRPr="00B503DC">
        <w:rPr>
          <w:rFonts w:ascii="Arial" w:hAnsi="Arial" w:cs="Arial"/>
        </w:rPr>
        <w:t xml:space="preserve"> </w:t>
      </w:r>
      <w:r w:rsidRPr="00B503DC">
        <w:rPr>
          <w:rFonts w:ascii="Arial" w:hAnsi="Arial" w:cs="Arial"/>
        </w:rPr>
        <w:t xml:space="preserve">concern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2AB5FE6E" w14:textId="77777777" w:rsidR="000D644C" w:rsidRPr="00B503DC" w:rsidRDefault="000D644C" w:rsidP="00B503DC">
      <w:pPr>
        <w:pStyle w:val="Default"/>
        <w:ind w:left="567" w:hanging="567"/>
        <w:jc w:val="both"/>
        <w:rPr>
          <w:sz w:val="22"/>
          <w:szCs w:val="22"/>
        </w:rPr>
      </w:pPr>
    </w:p>
    <w:p w14:paraId="22EE9B5A" w14:textId="77777777" w:rsidR="000D644C" w:rsidRPr="00B503DC" w:rsidRDefault="000D644C" w:rsidP="00925184">
      <w:pPr>
        <w:pStyle w:val="Default"/>
        <w:numPr>
          <w:ilvl w:val="0"/>
          <w:numId w:val="1"/>
        </w:numPr>
        <w:jc w:val="both"/>
        <w:rPr>
          <w:sz w:val="22"/>
          <w:szCs w:val="22"/>
        </w:rPr>
      </w:pPr>
      <w:r w:rsidRPr="00B503DC">
        <w:rPr>
          <w:sz w:val="22"/>
          <w:szCs w:val="22"/>
        </w:rPr>
        <w:t xml:space="preserve">As they were named as respondents in the case, Fire and Rescue Authorities (FRAs) had to submit a </w:t>
      </w:r>
      <w:proofErr w:type="spellStart"/>
      <w:r w:rsidRPr="00B503DC">
        <w:rPr>
          <w:sz w:val="22"/>
          <w:szCs w:val="22"/>
        </w:rPr>
        <w:t>defence</w:t>
      </w:r>
      <w:proofErr w:type="spellEnd"/>
      <w:r w:rsidRPr="00B503DC">
        <w:rPr>
          <w:sz w:val="22"/>
          <w:szCs w:val="22"/>
        </w:rPr>
        <w:t xml:space="preserve"> to the legal challenge. This </w:t>
      </w:r>
      <w:proofErr w:type="spellStart"/>
      <w:r w:rsidRPr="00B503DC">
        <w:rPr>
          <w:sz w:val="22"/>
          <w:szCs w:val="22"/>
        </w:rPr>
        <w:t>defence</w:t>
      </w:r>
      <w:proofErr w:type="spellEnd"/>
      <w:r w:rsidRPr="00B503DC">
        <w:rPr>
          <w:sz w:val="22"/>
          <w:szCs w:val="22"/>
        </w:rPr>
        <w:t xml:space="preserve"> has been managed collectively on behalf of the FRAs by the LGA under the auspices of the National Employers and decisions have been taken by a central steering group which is comprised of a number of </w:t>
      </w:r>
      <w:r w:rsidRPr="00B503DC">
        <w:rPr>
          <w:sz w:val="22"/>
          <w:szCs w:val="22"/>
          <w:lang w:eastAsia="en-GB"/>
        </w:rPr>
        <w:t>legal and HR advisers from varying types of fire and rescue services across the UK, the Advisory Forum legal adviser, employers’ secretariat, and from the LGA its Corporate Legal Adviser and a Senior Employment Law Adviser</w:t>
      </w:r>
    </w:p>
    <w:p w14:paraId="36CA99EC" w14:textId="77777777" w:rsidR="000D644C" w:rsidRPr="000D644C" w:rsidRDefault="000D644C" w:rsidP="000D644C">
      <w:pPr>
        <w:pStyle w:val="Default"/>
        <w:ind w:left="567"/>
        <w:jc w:val="both"/>
        <w:rPr>
          <w:sz w:val="22"/>
          <w:szCs w:val="22"/>
        </w:rPr>
      </w:pPr>
    </w:p>
    <w:p w14:paraId="157FBE7D" w14:textId="0C7BB735" w:rsidR="00B96EF6" w:rsidRDefault="000D644C" w:rsidP="00925184">
      <w:pPr>
        <w:pStyle w:val="ListParagraph"/>
        <w:numPr>
          <w:ilvl w:val="0"/>
          <w:numId w:val="1"/>
        </w:numPr>
        <w:spacing w:after="160" w:line="276" w:lineRule="auto"/>
        <w:contextualSpacing/>
        <w:jc w:val="both"/>
        <w:rPr>
          <w:rFonts w:ascii="Arial" w:hAnsi="Arial" w:cs="Arial"/>
          <w:noProof/>
          <w:lang w:eastAsia="en-GB"/>
        </w:rPr>
      </w:pPr>
      <w:r w:rsidRPr="00B96EF6">
        <w:rPr>
          <w:rFonts w:ascii="Arial" w:hAnsi="Arial" w:cs="Arial"/>
        </w:rPr>
        <w:t xml:space="preserve">The Court of Appeal found that the transitional protections unlawfully discriminated on age and the case </w:t>
      </w:r>
      <w:r w:rsidR="00CE1AFF">
        <w:rPr>
          <w:rFonts w:ascii="Arial" w:hAnsi="Arial" w:cs="Arial"/>
        </w:rPr>
        <w:t>has now</w:t>
      </w:r>
      <w:r w:rsidRPr="00B96EF6">
        <w:rPr>
          <w:rFonts w:ascii="Arial" w:hAnsi="Arial" w:cs="Arial"/>
        </w:rPr>
        <w:t xml:space="preserve"> returned to the Employment Tribunal for it to determine remedy. </w:t>
      </w:r>
      <w:r w:rsidR="004B50CD" w:rsidRPr="00B96EF6">
        <w:rPr>
          <w:rFonts w:ascii="Arial" w:hAnsi="Arial" w:cs="Arial"/>
          <w:lang w:eastAsia="en-GB"/>
        </w:rPr>
        <w:t xml:space="preserve">Members will be aware that in </w:t>
      </w:r>
      <w:r w:rsidR="00354D68" w:rsidRPr="00B96EF6">
        <w:rPr>
          <w:rFonts w:ascii="Arial" w:hAnsi="Arial" w:cs="Arial"/>
          <w:lang w:eastAsia="en-GB"/>
        </w:rPr>
        <w:t>common with its approach to a request from Government</w:t>
      </w:r>
      <w:r w:rsidR="00DC6544" w:rsidRPr="00B96EF6">
        <w:rPr>
          <w:rFonts w:ascii="Arial" w:hAnsi="Arial" w:cs="Arial"/>
          <w:lang w:eastAsia="en-GB"/>
        </w:rPr>
        <w:t>,</w:t>
      </w:r>
      <w:r w:rsidR="00354D68" w:rsidRPr="00B96EF6">
        <w:rPr>
          <w:rFonts w:ascii="Arial" w:hAnsi="Arial" w:cs="Arial"/>
          <w:lang w:eastAsia="en-GB"/>
        </w:rPr>
        <w:t xml:space="preserve"> t</w:t>
      </w:r>
      <w:r w:rsidR="002C1EF2" w:rsidRPr="00B96EF6">
        <w:rPr>
          <w:rFonts w:ascii="Arial" w:hAnsi="Arial" w:cs="Arial"/>
          <w:lang w:eastAsia="en-GB"/>
        </w:rPr>
        <w:t xml:space="preserve">he Supreme Court </w:t>
      </w:r>
      <w:r w:rsidR="00354D68" w:rsidRPr="00B96EF6">
        <w:rPr>
          <w:rFonts w:ascii="Arial" w:hAnsi="Arial" w:cs="Arial"/>
          <w:lang w:eastAsia="en-GB"/>
        </w:rPr>
        <w:t xml:space="preserve">rejected the fire authorities’ application to appeal. </w:t>
      </w:r>
    </w:p>
    <w:p w14:paraId="60BB8D63" w14:textId="77777777" w:rsidR="00B96EF6" w:rsidRDefault="00B96EF6" w:rsidP="00B96EF6">
      <w:pPr>
        <w:pStyle w:val="ListParagraph"/>
        <w:spacing w:after="160" w:line="276" w:lineRule="auto"/>
        <w:ind w:left="567"/>
        <w:contextualSpacing/>
        <w:jc w:val="both"/>
        <w:rPr>
          <w:rFonts w:ascii="Arial" w:hAnsi="Arial" w:cs="Arial"/>
          <w:noProof/>
          <w:lang w:eastAsia="en-GB"/>
        </w:rPr>
      </w:pPr>
    </w:p>
    <w:p w14:paraId="162BEFDA" w14:textId="77777777" w:rsidR="001E40C9" w:rsidRPr="001E40C9" w:rsidRDefault="000D644C" w:rsidP="00925184">
      <w:pPr>
        <w:pStyle w:val="ListParagraph"/>
        <w:numPr>
          <w:ilvl w:val="0"/>
          <w:numId w:val="1"/>
        </w:numPr>
        <w:spacing w:after="160" w:line="276" w:lineRule="auto"/>
        <w:contextualSpacing/>
        <w:jc w:val="both"/>
        <w:rPr>
          <w:rFonts w:ascii="Arial" w:hAnsi="Arial" w:cs="Arial"/>
          <w:noProof/>
          <w:lang w:eastAsia="en-GB"/>
        </w:rPr>
      </w:pPr>
      <w:r w:rsidRPr="00B96EF6">
        <w:rPr>
          <w:rFonts w:ascii="Arial" w:hAnsi="Arial" w:cs="Arial"/>
          <w:lang w:eastAsia="en-GB"/>
        </w:rPr>
        <w:t>A</w:t>
      </w:r>
      <w:r w:rsidR="00B96EF6">
        <w:rPr>
          <w:rFonts w:ascii="Arial" w:hAnsi="Arial" w:cs="Arial"/>
          <w:lang w:eastAsia="en-GB"/>
        </w:rPr>
        <w:t xml:space="preserve"> </w:t>
      </w:r>
      <w:r w:rsidR="00EF0DA8" w:rsidRPr="00B96EF6">
        <w:rPr>
          <w:rFonts w:ascii="Arial" w:hAnsi="Arial" w:cs="Arial"/>
          <w:noProof/>
          <w:lang w:eastAsia="en-GB"/>
        </w:rPr>
        <w:t>case manag</w:t>
      </w:r>
      <w:r w:rsidR="00125C8D">
        <w:rPr>
          <w:rFonts w:ascii="Arial" w:hAnsi="Arial" w:cs="Arial"/>
          <w:noProof/>
          <w:lang w:eastAsia="en-GB"/>
        </w:rPr>
        <w:t>ement preliminary hearing</w:t>
      </w:r>
      <w:r w:rsidR="00EF0DA8" w:rsidRPr="00B96EF6">
        <w:rPr>
          <w:rFonts w:ascii="Arial" w:hAnsi="Arial" w:cs="Arial"/>
          <w:noProof/>
          <w:lang w:eastAsia="en-GB"/>
        </w:rPr>
        <w:t xml:space="preserve"> </w:t>
      </w:r>
      <w:r w:rsidR="004B50CD" w:rsidRPr="00B96EF6">
        <w:rPr>
          <w:rFonts w:ascii="Arial" w:hAnsi="Arial" w:cs="Arial"/>
          <w:noProof/>
          <w:lang w:eastAsia="en-GB"/>
        </w:rPr>
        <w:t>was held on 18</w:t>
      </w:r>
      <w:r w:rsidR="004B50CD" w:rsidRPr="00B96EF6">
        <w:rPr>
          <w:rFonts w:ascii="Arial" w:hAnsi="Arial" w:cs="Arial"/>
          <w:noProof/>
          <w:vertAlign w:val="superscript"/>
          <w:lang w:eastAsia="en-GB"/>
        </w:rPr>
        <w:t>th</w:t>
      </w:r>
      <w:r w:rsidR="004B50CD" w:rsidRPr="00B96EF6">
        <w:rPr>
          <w:rFonts w:ascii="Arial" w:hAnsi="Arial" w:cs="Arial"/>
          <w:noProof/>
          <w:lang w:eastAsia="en-GB"/>
        </w:rPr>
        <w:t xml:space="preserve"> December</w:t>
      </w:r>
      <w:r w:rsidR="00EE523C" w:rsidRPr="00B96EF6">
        <w:rPr>
          <w:rFonts w:ascii="Arial" w:hAnsi="Arial" w:cs="Arial"/>
          <w:noProof/>
          <w:lang w:eastAsia="en-GB"/>
        </w:rPr>
        <w:t xml:space="preserve"> 2019</w:t>
      </w:r>
      <w:r w:rsidR="004B50CD" w:rsidRPr="00B96EF6">
        <w:rPr>
          <w:rFonts w:ascii="Arial" w:hAnsi="Arial" w:cs="Arial"/>
          <w:noProof/>
          <w:lang w:eastAsia="en-GB"/>
        </w:rPr>
        <w:t xml:space="preserve">. </w:t>
      </w:r>
      <w:r w:rsidR="00B96EF6">
        <w:rPr>
          <w:rFonts w:ascii="Arial" w:hAnsi="Arial" w:cs="Arial"/>
          <w:noProof/>
          <w:lang w:eastAsia="en-GB"/>
        </w:rPr>
        <w:t>An interim</w:t>
      </w:r>
      <w:r w:rsidR="001E40C9">
        <w:rPr>
          <w:rFonts w:ascii="Arial" w:hAnsi="Arial" w:cs="Arial"/>
          <w:noProof/>
          <w:lang w:eastAsia="en-GB"/>
        </w:rPr>
        <w:t xml:space="preserve"> Order </w:t>
      </w:r>
      <w:r w:rsidR="00B96EF6">
        <w:rPr>
          <w:rFonts w:ascii="Arial" w:hAnsi="Arial" w:cs="Arial"/>
          <w:noProof/>
          <w:lang w:eastAsia="en-GB"/>
        </w:rPr>
        <w:t>was agreed by all parties</w:t>
      </w:r>
      <w:r w:rsidR="001E40C9">
        <w:rPr>
          <w:rFonts w:ascii="Arial" w:hAnsi="Arial" w:cs="Arial"/>
          <w:noProof/>
          <w:lang w:eastAsia="en-GB"/>
        </w:rPr>
        <w:t xml:space="preserve">. </w:t>
      </w:r>
      <w:r w:rsidR="001E40C9" w:rsidRPr="001E40C9">
        <w:rPr>
          <w:rFonts w:ascii="Arial" w:hAnsi="Arial" w:cs="Arial"/>
          <w:noProof/>
          <w:lang w:eastAsia="en-GB"/>
        </w:rPr>
        <w:t xml:space="preserve">The Order </w:t>
      </w:r>
      <w:r w:rsidR="001E40C9">
        <w:rPr>
          <w:rFonts w:ascii="Arial" w:hAnsi="Arial" w:cs="Arial"/>
          <w:noProof/>
          <w:lang w:eastAsia="en-GB"/>
        </w:rPr>
        <w:t xml:space="preserve">does </w:t>
      </w:r>
      <w:r w:rsidR="001E40C9" w:rsidRPr="001E40C9">
        <w:rPr>
          <w:rFonts w:ascii="Arial" w:hAnsi="Arial" w:cs="Arial"/>
          <w:noProof/>
          <w:lang w:eastAsia="en-GB"/>
        </w:rPr>
        <w:t>not bind the parties beyond the limited interim period before the final declaration</w:t>
      </w:r>
      <w:r w:rsidR="001E40C9">
        <w:rPr>
          <w:rFonts w:ascii="Arial" w:hAnsi="Arial" w:cs="Arial"/>
          <w:noProof/>
          <w:lang w:eastAsia="en-GB"/>
        </w:rPr>
        <w:t xml:space="preserve">. </w:t>
      </w:r>
    </w:p>
    <w:p w14:paraId="2E9D2C5A" w14:textId="77777777" w:rsidR="001E40C9" w:rsidRDefault="001E40C9" w:rsidP="001E40C9">
      <w:pPr>
        <w:pStyle w:val="ListParagraph"/>
        <w:spacing w:after="160" w:line="276" w:lineRule="auto"/>
        <w:ind w:left="567" w:hanging="567"/>
        <w:contextualSpacing/>
        <w:jc w:val="both"/>
        <w:rPr>
          <w:rFonts w:ascii="Arial" w:hAnsi="Arial" w:cs="Arial"/>
          <w:noProof/>
          <w:lang w:eastAsia="en-GB"/>
        </w:rPr>
      </w:pPr>
    </w:p>
    <w:p w14:paraId="5EBB4E56" w14:textId="77777777" w:rsidR="001E40C9" w:rsidRDefault="001E40C9" w:rsidP="00925184">
      <w:pPr>
        <w:pStyle w:val="ListParagraph"/>
        <w:numPr>
          <w:ilvl w:val="0"/>
          <w:numId w:val="1"/>
        </w:numPr>
        <w:spacing w:after="160" w:line="276" w:lineRule="auto"/>
        <w:contextualSpacing/>
        <w:jc w:val="both"/>
        <w:rPr>
          <w:rFonts w:ascii="Arial" w:hAnsi="Arial" w:cs="Arial"/>
          <w:noProof/>
          <w:lang w:eastAsia="en-GB"/>
        </w:rPr>
      </w:pPr>
      <w:r w:rsidRPr="001E40C9">
        <w:rPr>
          <w:rFonts w:ascii="Arial" w:hAnsi="Arial" w:cs="Arial"/>
          <w:noProof/>
          <w:lang w:eastAsia="en-GB"/>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52B92AAF" w14:textId="77777777" w:rsidR="001E40C9" w:rsidRPr="001E40C9" w:rsidRDefault="001E40C9" w:rsidP="001E40C9">
      <w:pPr>
        <w:pStyle w:val="ListParagraph"/>
        <w:ind w:left="567" w:hanging="567"/>
        <w:rPr>
          <w:rFonts w:ascii="Arial" w:hAnsi="Arial" w:cs="Arial"/>
          <w:noProof/>
          <w:lang w:eastAsia="en-GB"/>
        </w:rPr>
      </w:pPr>
    </w:p>
    <w:p w14:paraId="24A75591" w14:textId="38F941BB" w:rsidR="001E40C9" w:rsidRDefault="001E40C9" w:rsidP="00925184">
      <w:pPr>
        <w:pStyle w:val="ListParagraph"/>
        <w:numPr>
          <w:ilvl w:val="0"/>
          <w:numId w:val="1"/>
        </w:numPr>
        <w:spacing w:after="160" w:line="276" w:lineRule="auto"/>
        <w:contextualSpacing/>
        <w:jc w:val="both"/>
        <w:rPr>
          <w:rFonts w:ascii="Arial" w:hAnsi="Arial" w:cs="Arial"/>
          <w:noProof/>
          <w:lang w:eastAsia="en-GB"/>
        </w:rPr>
      </w:pPr>
      <w:r w:rsidRPr="001E40C9">
        <w:rPr>
          <w:rFonts w:ascii="Arial" w:hAnsi="Arial" w:cs="Arial"/>
          <w:noProof/>
          <w:lang w:eastAsia="en-GB"/>
        </w:rPr>
        <w:t>The Order anticipates that</w:t>
      </w:r>
      <w:r>
        <w:rPr>
          <w:rFonts w:ascii="Arial" w:hAnsi="Arial" w:cs="Arial"/>
          <w:noProof/>
          <w:lang w:eastAsia="en-GB"/>
        </w:rPr>
        <w:t xml:space="preserve"> the final determination on the</w:t>
      </w:r>
      <w:r w:rsidRPr="001E40C9">
        <w:rPr>
          <w:rFonts w:ascii="Arial" w:hAnsi="Arial" w:cs="Arial"/>
          <w:noProof/>
          <w:lang w:eastAsia="en-GB"/>
        </w:rPr>
        <w:t xml:space="preserve"> remedy issue in regards to membership of the 1992 FPS should be resolved around mid-July 2020, although it should be noted that even when we have a final determination on that issue it may be some time before this part of the remedy can be put into effect for all claimants. Further there may be other issues relating</w:t>
      </w:r>
      <w:r w:rsidR="00B96EF6" w:rsidRPr="001E40C9">
        <w:rPr>
          <w:rFonts w:ascii="Arial" w:hAnsi="Arial" w:cs="Arial"/>
          <w:noProof/>
          <w:lang w:eastAsia="en-GB"/>
        </w:rPr>
        <w:t xml:space="preserve"> </w:t>
      </w:r>
      <w:r>
        <w:rPr>
          <w:rFonts w:ascii="Arial" w:hAnsi="Arial" w:cs="Arial"/>
          <w:noProof/>
          <w:lang w:eastAsia="en-GB"/>
        </w:rPr>
        <w:t xml:space="preserve">to </w:t>
      </w:r>
      <w:r w:rsidRPr="001E40C9">
        <w:rPr>
          <w:rFonts w:ascii="Arial" w:hAnsi="Arial" w:cs="Arial"/>
          <w:noProof/>
          <w:lang w:eastAsia="en-GB"/>
        </w:rPr>
        <w:t xml:space="preserve">remedies to be resolved, for example in regards to claims for injury to </w:t>
      </w:r>
      <w:r w:rsidRPr="001E40C9">
        <w:rPr>
          <w:rFonts w:ascii="Arial" w:hAnsi="Arial" w:cs="Arial"/>
          <w:noProof/>
          <w:lang w:eastAsia="en-GB"/>
        </w:rPr>
        <w:lastRenderedPageBreak/>
        <w:t>feelings.</w:t>
      </w:r>
      <w:r w:rsidR="002E7AEA">
        <w:rPr>
          <w:rFonts w:ascii="Arial" w:hAnsi="Arial" w:cs="Arial"/>
          <w:noProof/>
          <w:lang w:eastAsia="en-GB"/>
        </w:rPr>
        <w:t xml:space="preserve"> </w:t>
      </w:r>
      <w:r w:rsidR="002E7AEA" w:rsidRPr="002E7AEA">
        <w:rPr>
          <w:rFonts w:ascii="Arial" w:hAnsi="Arial" w:cs="Arial"/>
          <w:noProof/>
          <w:lang w:eastAsia="en-GB"/>
        </w:rPr>
        <w:t>It</w:t>
      </w:r>
      <w:r w:rsidR="002E7AEA">
        <w:rPr>
          <w:rFonts w:ascii="Arial" w:hAnsi="Arial" w:cs="Arial"/>
          <w:noProof/>
          <w:lang w:eastAsia="en-GB"/>
        </w:rPr>
        <w:t xml:space="preserve"> should also be noted that the Order</w:t>
      </w:r>
      <w:r w:rsidR="002E7AEA" w:rsidRPr="002E7AEA">
        <w:rPr>
          <w:rFonts w:ascii="Arial" w:hAnsi="Arial" w:cs="Arial"/>
          <w:noProof/>
          <w:lang w:eastAsia="en-GB"/>
        </w:rPr>
        <w:t xml:space="preserve"> does not cover those who did not bring claims (non-claimants). </w:t>
      </w:r>
      <w:r w:rsidR="00CE1AFF" w:rsidRPr="00CE1AFF">
        <w:rPr>
          <w:rFonts w:ascii="Arial" w:hAnsi="Arial" w:cs="Arial"/>
          <w:noProof/>
          <w:lang w:eastAsia="en-GB"/>
        </w:rPr>
        <w:t>However, discussions are taking place on how to provide a remedy for those non-claimants as appropriate. It is also anticipated that in due course remedy will also be put in place in Scotland and Northern Ireland.</w:t>
      </w:r>
    </w:p>
    <w:p w14:paraId="428A54EC" w14:textId="77777777" w:rsidR="001E40C9" w:rsidRPr="001E40C9" w:rsidRDefault="001E40C9" w:rsidP="001E40C9">
      <w:pPr>
        <w:pStyle w:val="ListParagraph"/>
        <w:ind w:left="567" w:hanging="567"/>
        <w:rPr>
          <w:rFonts w:ascii="Arial" w:hAnsi="Arial" w:cs="Arial"/>
          <w:noProof/>
          <w:lang w:eastAsia="en-GB"/>
        </w:rPr>
      </w:pPr>
    </w:p>
    <w:p w14:paraId="4FE8B2E2" w14:textId="77777777" w:rsidR="004B50CD" w:rsidRPr="001E40C9" w:rsidRDefault="001E40C9" w:rsidP="00925184">
      <w:pPr>
        <w:pStyle w:val="ListParagraph"/>
        <w:numPr>
          <w:ilvl w:val="0"/>
          <w:numId w:val="1"/>
        </w:numPr>
        <w:spacing w:after="160" w:line="276" w:lineRule="auto"/>
        <w:contextualSpacing/>
        <w:jc w:val="both"/>
        <w:rPr>
          <w:rFonts w:ascii="Arial" w:hAnsi="Arial" w:cs="Arial"/>
          <w:noProof/>
          <w:lang w:eastAsia="en-GB"/>
        </w:rPr>
      </w:pPr>
      <w:r>
        <w:rPr>
          <w:rFonts w:ascii="Arial" w:hAnsi="Arial" w:cs="Arial"/>
          <w:noProof/>
          <w:lang w:eastAsia="en-GB"/>
        </w:rPr>
        <w:t xml:space="preserve">The </w:t>
      </w:r>
      <w:r w:rsidR="00B96EF6" w:rsidRPr="001E40C9">
        <w:rPr>
          <w:rFonts w:ascii="Arial" w:hAnsi="Arial" w:cs="Arial"/>
          <w:noProof/>
          <w:lang w:eastAsia="en-GB"/>
        </w:rPr>
        <w:t xml:space="preserve">timetable </w:t>
      </w:r>
      <w:r>
        <w:rPr>
          <w:rFonts w:ascii="Arial" w:hAnsi="Arial" w:cs="Arial"/>
          <w:noProof/>
          <w:lang w:eastAsia="en-GB"/>
        </w:rPr>
        <w:t>and further information is contained in c</w:t>
      </w:r>
      <w:r w:rsidR="00B96EF6" w:rsidRPr="001E40C9">
        <w:rPr>
          <w:rFonts w:ascii="Arial" w:hAnsi="Arial" w:cs="Arial"/>
          <w:noProof/>
          <w:lang w:eastAsia="en-GB"/>
        </w:rPr>
        <w:t xml:space="preserve">ircular </w:t>
      </w:r>
      <w:hyperlink r:id="rId13" w:history="1">
        <w:r w:rsidR="00B96EF6" w:rsidRPr="001E40C9">
          <w:rPr>
            <w:rStyle w:val="Hyperlink"/>
            <w:rFonts w:ascii="Arial" w:hAnsi="Arial" w:cs="Arial"/>
            <w:noProof/>
            <w:lang w:eastAsia="en-GB"/>
          </w:rPr>
          <w:t>EMP/8/19</w:t>
        </w:r>
      </w:hyperlink>
      <w:r>
        <w:rPr>
          <w:rFonts w:ascii="Arial" w:hAnsi="Arial" w:cs="Arial"/>
          <w:noProof/>
          <w:lang w:eastAsia="en-GB"/>
        </w:rPr>
        <w:t xml:space="preserve">. </w:t>
      </w:r>
      <w:r w:rsidR="00B96EF6" w:rsidRPr="001E40C9">
        <w:rPr>
          <w:rFonts w:ascii="Arial" w:hAnsi="Arial" w:cs="Arial"/>
          <w:noProof/>
          <w:lang w:eastAsia="en-GB"/>
        </w:rPr>
        <w:t xml:space="preserve"> </w:t>
      </w:r>
    </w:p>
    <w:p w14:paraId="2D235714" w14:textId="77777777" w:rsidR="000D644C" w:rsidRPr="000D644C" w:rsidRDefault="000D644C" w:rsidP="000D644C">
      <w:pPr>
        <w:pStyle w:val="ListParagraph"/>
        <w:rPr>
          <w:rFonts w:ascii="Arial" w:hAnsi="Arial" w:cs="Arial"/>
          <w:noProof/>
          <w:lang w:eastAsia="en-GB"/>
        </w:rPr>
      </w:pPr>
    </w:p>
    <w:p w14:paraId="3E37284B" w14:textId="77777777" w:rsidR="00AE2DCC" w:rsidRDefault="002C1EF2" w:rsidP="00925184">
      <w:pPr>
        <w:pStyle w:val="ListParagraph"/>
        <w:numPr>
          <w:ilvl w:val="0"/>
          <w:numId w:val="1"/>
        </w:numPr>
        <w:spacing w:after="160" w:line="276" w:lineRule="auto"/>
        <w:contextualSpacing/>
        <w:jc w:val="both"/>
        <w:rPr>
          <w:rFonts w:ascii="Arial" w:hAnsi="Arial" w:cs="Arial"/>
          <w:lang w:eastAsia="en-GB"/>
        </w:rPr>
      </w:pPr>
      <w:r w:rsidRPr="000D644C">
        <w:rPr>
          <w:rFonts w:ascii="Arial" w:hAnsi="Arial" w:cs="Arial"/>
          <w:lang w:eastAsia="en-GB"/>
        </w:rPr>
        <w:t xml:space="preserve">In </w:t>
      </w:r>
      <w:r w:rsidR="00FF7BA0" w:rsidRPr="000D644C">
        <w:rPr>
          <w:rFonts w:ascii="Arial" w:hAnsi="Arial" w:cs="Arial"/>
          <w:lang w:eastAsia="en-GB"/>
        </w:rPr>
        <w:t>addition,</w:t>
      </w:r>
      <w:r w:rsidRPr="000D644C">
        <w:rPr>
          <w:rFonts w:ascii="Arial" w:hAnsi="Arial" w:cs="Arial"/>
          <w:lang w:eastAsia="en-GB"/>
        </w:rPr>
        <w:t xml:space="preserve"> the FRAs still have the live and separate appeal in relation to their potential defence under Schedule 22 (which is that the FRAs had no choice but to follow the Government's legislation) which again was fully considered with the Steering Committee and legal representatives</w:t>
      </w:r>
      <w:r w:rsidR="00116B58" w:rsidRPr="000D644C">
        <w:rPr>
          <w:rFonts w:ascii="Arial" w:hAnsi="Arial" w:cs="Arial"/>
          <w:lang w:eastAsia="en-GB"/>
        </w:rPr>
        <w:t xml:space="preserve">. </w:t>
      </w:r>
      <w:r w:rsidR="00CE1AFF">
        <w:rPr>
          <w:rFonts w:ascii="Arial" w:hAnsi="Arial" w:cs="Arial"/>
          <w:lang w:eastAsia="en-GB"/>
        </w:rPr>
        <w:t xml:space="preserve"> It is anticipated that the appeal will be listed for hearing this year. </w:t>
      </w:r>
    </w:p>
    <w:p w14:paraId="65119C03" w14:textId="77777777" w:rsidR="00AE2DCC" w:rsidRPr="00AE2DCC" w:rsidRDefault="00AE2DCC" w:rsidP="00AE2DCC">
      <w:pPr>
        <w:pStyle w:val="ListParagraph"/>
        <w:rPr>
          <w:rFonts w:ascii="Arial" w:hAnsi="Arial" w:cs="Arial"/>
          <w:i/>
          <w:lang w:eastAsia="en-GB"/>
        </w:rPr>
      </w:pPr>
    </w:p>
    <w:p w14:paraId="03CBFFE9" w14:textId="144F387F" w:rsidR="00F01AAD" w:rsidRPr="00AE2DCC" w:rsidRDefault="00F01AAD" w:rsidP="00AE2DCC">
      <w:pPr>
        <w:spacing w:after="160" w:line="276" w:lineRule="auto"/>
        <w:contextualSpacing/>
        <w:jc w:val="both"/>
        <w:rPr>
          <w:rFonts w:ascii="Arial" w:hAnsi="Arial" w:cs="Arial"/>
          <w:lang w:eastAsia="en-GB"/>
        </w:rPr>
      </w:pPr>
      <w:r w:rsidRPr="00AE2DCC">
        <w:rPr>
          <w:rFonts w:ascii="Arial" w:hAnsi="Arial" w:cs="Arial"/>
          <w:i/>
          <w:lang w:eastAsia="en-GB"/>
        </w:rPr>
        <w:t>Defence of new category of claims</w:t>
      </w:r>
    </w:p>
    <w:p w14:paraId="44253EF3" w14:textId="77777777" w:rsidR="00F01AAD" w:rsidRDefault="00F01AAD" w:rsidP="00925184">
      <w:pPr>
        <w:pStyle w:val="ListParagraph"/>
        <w:numPr>
          <w:ilvl w:val="0"/>
          <w:numId w:val="1"/>
        </w:numPr>
        <w:spacing w:after="160" w:line="276" w:lineRule="auto"/>
        <w:contextualSpacing/>
        <w:jc w:val="both"/>
        <w:rPr>
          <w:rFonts w:ascii="Arial" w:hAnsi="Arial" w:cs="Arial"/>
          <w:lang w:eastAsia="en-GB"/>
        </w:rPr>
      </w:pPr>
      <w:r>
        <w:rPr>
          <w:rFonts w:ascii="Arial" w:hAnsi="Arial" w:cs="Arial"/>
          <w:lang w:eastAsia="en-GB"/>
        </w:rPr>
        <w:t>W</w:t>
      </w:r>
      <w:r w:rsidRPr="00F01AAD">
        <w:rPr>
          <w:rFonts w:ascii="Arial" w:hAnsi="Arial" w:cs="Arial"/>
          <w:lang w:eastAsia="en-GB"/>
        </w:rPr>
        <w:t>e understand that a new but related category of employment tribunal claims has or will soon be issued by the F</w:t>
      </w:r>
      <w:r>
        <w:rPr>
          <w:rFonts w:ascii="Arial" w:hAnsi="Arial" w:cs="Arial"/>
          <w:lang w:eastAsia="en-GB"/>
        </w:rPr>
        <w:t xml:space="preserve">ire </w:t>
      </w:r>
      <w:r w:rsidRPr="00F01AAD">
        <w:rPr>
          <w:rFonts w:ascii="Arial" w:hAnsi="Arial" w:cs="Arial"/>
          <w:lang w:eastAsia="en-GB"/>
        </w:rPr>
        <w:t>B</w:t>
      </w:r>
      <w:r>
        <w:rPr>
          <w:rFonts w:ascii="Arial" w:hAnsi="Arial" w:cs="Arial"/>
          <w:lang w:eastAsia="en-GB"/>
        </w:rPr>
        <w:t xml:space="preserve">rigades </w:t>
      </w:r>
      <w:r w:rsidRPr="00F01AAD">
        <w:rPr>
          <w:rFonts w:ascii="Arial" w:hAnsi="Arial" w:cs="Arial"/>
          <w:lang w:eastAsia="en-GB"/>
        </w:rPr>
        <w:t>U</w:t>
      </w:r>
      <w:r>
        <w:rPr>
          <w:rFonts w:ascii="Arial" w:hAnsi="Arial" w:cs="Arial"/>
          <w:lang w:eastAsia="en-GB"/>
        </w:rPr>
        <w:t>nion</w:t>
      </w:r>
      <w:r w:rsidRPr="00F01AAD">
        <w:rPr>
          <w:rFonts w:ascii="Arial" w:hAnsi="Arial" w:cs="Arial"/>
          <w:lang w:eastAsia="en-GB"/>
        </w:rPr>
        <w:t xml:space="preserve"> against fire and rescue authorities on behalf of firefighters. In short, the claims relate to members of the 2006 Scheme who were not transferred to the 2015 Scheme (and never will be), which they claim would have provided them with better benefits. </w:t>
      </w:r>
    </w:p>
    <w:p w14:paraId="63ECB7AF" w14:textId="77777777" w:rsidR="00F01AAD" w:rsidRDefault="00F01AAD" w:rsidP="00F01AAD">
      <w:pPr>
        <w:pStyle w:val="ListParagraph"/>
        <w:spacing w:after="160" w:line="276" w:lineRule="auto"/>
        <w:ind w:left="567"/>
        <w:contextualSpacing/>
        <w:jc w:val="both"/>
        <w:rPr>
          <w:rFonts w:ascii="Arial" w:hAnsi="Arial" w:cs="Arial"/>
          <w:lang w:eastAsia="en-GB"/>
        </w:rPr>
      </w:pPr>
    </w:p>
    <w:p w14:paraId="0B4F9263" w14:textId="77777777" w:rsidR="00F01AAD" w:rsidRDefault="00F01AAD" w:rsidP="00925184">
      <w:pPr>
        <w:pStyle w:val="ListParagraph"/>
        <w:numPr>
          <w:ilvl w:val="0"/>
          <w:numId w:val="1"/>
        </w:numPr>
        <w:spacing w:after="160" w:line="276" w:lineRule="auto"/>
        <w:contextualSpacing/>
        <w:jc w:val="both"/>
        <w:rPr>
          <w:rFonts w:ascii="Arial" w:hAnsi="Arial" w:cs="Arial"/>
          <w:lang w:eastAsia="en-GB"/>
        </w:rPr>
      </w:pPr>
      <w:r w:rsidRPr="00F01AAD">
        <w:rPr>
          <w:rFonts w:ascii="Arial" w:hAnsi="Arial" w:cs="Arial"/>
          <w:lang w:eastAsia="en-GB"/>
        </w:rPr>
        <w:t xml:space="preserve">We have approached FRAs to seek their views on whether they would like the LGA, along with the Steering Committee made up of representatives from fire authorities, to coordinate the defence of the new claims on their behalf, as we have done for the original claims. </w:t>
      </w:r>
      <w:r w:rsidR="00CC6CB0" w:rsidRPr="00CC6CB0">
        <w:rPr>
          <w:rFonts w:ascii="Arial" w:hAnsi="Arial" w:cs="Arial"/>
          <w:lang w:eastAsia="en-GB"/>
        </w:rPr>
        <w:t>In terms of costs, they would be apportioned between authorities on a cost-sharing basis, based on headcount, as they are for the original claims.</w:t>
      </w:r>
    </w:p>
    <w:p w14:paraId="06AFA354" w14:textId="77777777" w:rsidR="00F01AAD" w:rsidRPr="00F01AAD" w:rsidRDefault="00F01AAD" w:rsidP="00F01AAD">
      <w:pPr>
        <w:pStyle w:val="ListParagraph"/>
        <w:spacing w:after="160" w:line="276" w:lineRule="auto"/>
        <w:ind w:left="567"/>
        <w:contextualSpacing/>
        <w:jc w:val="both"/>
        <w:rPr>
          <w:rFonts w:ascii="Arial" w:hAnsi="Arial" w:cs="Arial"/>
          <w:lang w:eastAsia="en-GB"/>
        </w:rPr>
      </w:pPr>
    </w:p>
    <w:p w14:paraId="1B198C4F" w14:textId="77777777" w:rsidR="00906BFF" w:rsidRPr="00906BFF" w:rsidRDefault="00906BFF" w:rsidP="00906BFF">
      <w:pPr>
        <w:pStyle w:val="ListParagraph"/>
        <w:ind w:left="567" w:hanging="567"/>
        <w:rPr>
          <w:rFonts w:ascii="Arial" w:hAnsi="Arial" w:cs="Arial"/>
          <w:i/>
          <w:lang w:eastAsia="en-GB"/>
        </w:rPr>
      </w:pPr>
      <w:r w:rsidRPr="00906BFF">
        <w:rPr>
          <w:rFonts w:ascii="Arial" w:hAnsi="Arial" w:cs="Arial"/>
          <w:i/>
          <w:lang w:eastAsia="en-GB"/>
        </w:rPr>
        <w:t>HMICFRS – State of Fire and Rescue report (2019)</w:t>
      </w:r>
    </w:p>
    <w:p w14:paraId="3E286E6B" w14:textId="77777777" w:rsidR="00906BFF" w:rsidRPr="00906BFF" w:rsidRDefault="00906BFF" w:rsidP="00906BFF">
      <w:pPr>
        <w:pStyle w:val="ListParagraph"/>
        <w:ind w:left="567" w:hanging="567"/>
        <w:rPr>
          <w:rFonts w:ascii="Arial" w:hAnsi="Arial" w:cs="Arial"/>
          <w:lang w:eastAsia="en-GB"/>
        </w:rPr>
      </w:pPr>
    </w:p>
    <w:p w14:paraId="75D07F2D" w14:textId="31A8C3FC" w:rsidR="00F14940" w:rsidRPr="008D5D89" w:rsidRDefault="006E06E3" w:rsidP="00925184">
      <w:pPr>
        <w:pStyle w:val="ListParagraph"/>
        <w:numPr>
          <w:ilvl w:val="0"/>
          <w:numId w:val="1"/>
        </w:numPr>
        <w:spacing w:after="160" w:line="276" w:lineRule="auto"/>
        <w:contextualSpacing/>
        <w:jc w:val="both"/>
        <w:rPr>
          <w:rFonts w:ascii="Arial" w:hAnsi="Arial" w:cs="Arial"/>
          <w:lang w:eastAsia="en-GB"/>
        </w:rPr>
      </w:pPr>
      <w:r w:rsidRPr="00906BFF">
        <w:rPr>
          <w:rFonts w:ascii="Arial" w:hAnsi="Arial" w:cs="Arial"/>
          <w:lang w:eastAsia="en-GB"/>
        </w:rPr>
        <w:t>This</w:t>
      </w:r>
      <w:r>
        <w:rPr>
          <w:rFonts w:ascii="Arial" w:hAnsi="Arial" w:cs="Arial"/>
          <w:lang w:eastAsia="en-GB"/>
        </w:rPr>
        <w:t xml:space="preserve"> </w:t>
      </w:r>
      <w:r w:rsidRPr="00906BFF">
        <w:rPr>
          <w:rFonts w:ascii="Arial" w:hAnsi="Arial" w:cs="Arial"/>
          <w:lang w:eastAsia="en-GB"/>
        </w:rPr>
        <w:t>report</w:t>
      </w:r>
      <w:r>
        <w:rPr>
          <w:rFonts w:ascii="Arial" w:hAnsi="Arial" w:cs="Arial"/>
          <w:lang w:eastAsia="en-GB"/>
        </w:rPr>
        <w:t>,</w:t>
      </w:r>
      <w:r w:rsidRPr="00906BFF">
        <w:rPr>
          <w:rFonts w:ascii="Arial" w:hAnsi="Arial" w:cs="Arial"/>
          <w:lang w:eastAsia="en-GB"/>
        </w:rPr>
        <w:t xml:space="preserve"> </w:t>
      </w:r>
      <w:r>
        <w:rPr>
          <w:rFonts w:ascii="Arial" w:hAnsi="Arial" w:cs="Arial"/>
          <w:lang w:eastAsia="en-GB"/>
        </w:rPr>
        <w:t xml:space="preserve">published 15 January 2020, </w:t>
      </w:r>
      <w:r w:rsidRPr="00906BFF">
        <w:rPr>
          <w:rFonts w:ascii="Arial" w:hAnsi="Arial" w:cs="Arial"/>
          <w:lang w:eastAsia="en-GB"/>
        </w:rPr>
        <w:t xml:space="preserve">contains recommendations and views on a number of areas </w:t>
      </w:r>
      <w:r>
        <w:rPr>
          <w:rFonts w:ascii="Arial" w:hAnsi="Arial" w:cs="Arial"/>
          <w:lang w:eastAsia="en-GB"/>
        </w:rPr>
        <w:t xml:space="preserve">including those </w:t>
      </w:r>
      <w:r w:rsidRPr="00906BFF">
        <w:rPr>
          <w:rFonts w:ascii="Arial" w:hAnsi="Arial" w:cs="Arial"/>
          <w:lang w:eastAsia="en-GB"/>
        </w:rPr>
        <w:t>with</w:t>
      </w:r>
      <w:r>
        <w:rPr>
          <w:rFonts w:ascii="Arial" w:hAnsi="Arial" w:cs="Arial"/>
          <w:lang w:eastAsia="en-GB"/>
        </w:rPr>
        <w:t xml:space="preserve"> direct </w:t>
      </w:r>
      <w:r w:rsidRPr="00906BFF">
        <w:rPr>
          <w:rFonts w:ascii="Arial" w:hAnsi="Arial" w:cs="Arial"/>
          <w:lang w:eastAsia="en-GB"/>
        </w:rPr>
        <w:t xml:space="preserve">workforce implications. Accordingly it will be of interest to both FSMC and the National Employers, albeit the HMICFRS remit covers England only. </w:t>
      </w:r>
      <w:r w:rsidR="00F14940" w:rsidRPr="008D5D89">
        <w:rPr>
          <w:rFonts w:ascii="Arial" w:hAnsi="Arial" w:cs="Arial"/>
          <w:b/>
          <w:lang w:eastAsia="en-GB"/>
        </w:rPr>
        <w:br w:type="page"/>
      </w:r>
    </w:p>
    <w:p w14:paraId="5AABD8C8" w14:textId="77777777" w:rsidR="00906BFF" w:rsidRDefault="00906BFF" w:rsidP="00906BFF">
      <w:pPr>
        <w:ind w:left="360" w:hanging="360"/>
        <w:rPr>
          <w:rFonts w:ascii="Arial" w:hAnsi="Arial" w:cs="Arial"/>
          <w:b/>
          <w:lang w:eastAsia="en-GB"/>
        </w:rPr>
      </w:pPr>
    </w:p>
    <w:p w14:paraId="0DA85F2E" w14:textId="51B6AD64" w:rsidR="00906BFF" w:rsidRPr="00906BFF" w:rsidRDefault="00906BFF" w:rsidP="00906BFF">
      <w:pPr>
        <w:ind w:left="360" w:hanging="360"/>
        <w:rPr>
          <w:rFonts w:ascii="Arial" w:hAnsi="Arial" w:cs="Arial"/>
          <w:b/>
          <w:lang w:eastAsia="en-GB"/>
        </w:rPr>
      </w:pPr>
      <w:r w:rsidRPr="00906BFF">
        <w:rPr>
          <w:rFonts w:ascii="Arial" w:hAnsi="Arial" w:cs="Arial"/>
          <w:b/>
          <w:lang w:eastAsia="en-GB"/>
        </w:rPr>
        <w:t>Implications for Wales</w:t>
      </w:r>
      <w:r w:rsidR="00AE2DCC">
        <w:rPr>
          <w:rFonts w:ascii="Arial" w:hAnsi="Arial" w:cs="Arial"/>
          <w:b/>
          <w:lang w:eastAsia="en-GB"/>
        </w:rPr>
        <w:t>.</w:t>
      </w:r>
    </w:p>
    <w:p w14:paraId="0F58181E" w14:textId="77777777" w:rsidR="00906BFF" w:rsidRPr="00906BFF" w:rsidRDefault="00906BFF" w:rsidP="00906BFF">
      <w:pPr>
        <w:pStyle w:val="ListParagraph"/>
        <w:spacing w:after="160" w:line="276" w:lineRule="auto"/>
        <w:ind w:left="567"/>
        <w:contextualSpacing/>
        <w:jc w:val="both"/>
        <w:rPr>
          <w:rFonts w:ascii="Arial" w:hAnsi="Arial" w:cs="Arial"/>
          <w:lang w:eastAsia="en-GB"/>
        </w:rPr>
      </w:pPr>
    </w:p>
    <w:p w14:paraId="41A1F769" w14:textId="77777777" w:rsidR="00F14940" w:rsidRDefault="00F14940" w:rsidP="00925184">
      <w:pPr>
        <w:pStyle w:val="ListParagraph"/>
        <w:numPr>
          <w:ilvl w:val="0"/>
          <w:numId w:val="1"/>
        </w:numPr>
        <w:spacing w:after="160" w:line="276" w:lineRule="auto"/>
        <w:contextualSpacing/>
        <w:jc w:val="both"/>
        <w:rPr>
          <w:rFonts w:ascii="Arial" w:hAnsi="Arial" w:cs="Arial"/>
          <w:lang w:eastAsia="en-GB"/>
        </w:rPr>
      </w:pPr>
      <w:r>
        <w:rPr>
          <w:rFonts w:ascii="Arial" w:hAnsi="Arial" w:cs="Arial"/>
          <w:lang w:eastAsia="en-GB"/>
        </w:rPr>
        <w:t>References to the scheme advisory board are for the English scheme advisory board only.  Wales has its own advisory board who will be responding separately to the government consultation on reform.</w:t>
      </w:r>
    </w:p>
    <w:p w14:paraId="7D9D600A" w14:textId="77777777" w:rsidR="00F14940" w:rsidRDefault="00F14940" w:rsidP="00F14940">
      <w:pPr>
        <w:pStyle w:val="ListParagraph"/>
        <w:spacing w:after="160" w:line="276" w:lineRule="auto"/>
        <w:ind w:left="567"/>
        <w:contextualSpacing/>
        <w:jc w:val="both"/>
        <w:rPr>
          <w:rFonts w:ascii="Arial" w:hAnsi="Arial" w:cs="Arial"/>
          <w:lang w:eastAsia="en-GB"/>
        </w:rPr>
      </w:pPr>
    </w:p>
    <w:p w14:paraId="197A6B3A" w14:textId="77777777" w:rsidR="00F14940" w:rsidRDefault="00F14940" w:rsidP="00925184">
      <w:pPr>
        <w:pStyle w:val="ListParagraph"/>
        <w:numPr>
          <w:ilvl w:val="0"/>
          <w:numId w:val="1"/>
        </w:numPr>
        <w:spacing w:after="160" w:line="276" w:lineRule="auto"/>
        <w:contextualSpacing/>
        <w:jc w:val="both"/>
        <w:rPr>
          <w:rFonts w:ascii="Arial" w:hAnsi="Arial" w:cs="Arial"/>
          <w:lang w:eastAsia="en-GB"/>
        </w:rPr>
      </w:pPr>
      <w:r>
        <w:rPr>
          <w:rFonts w:ascii="Arial" w:hAnsi="Arial" w:cs="Arial"/>
          <w:lang w:eastAsia="en-GB"/>
        </w:rPr>
        <w:t>TPR’s remit extends to devolved countries, it is not known which of the three devolved countries has been selected for supervision.</w:t>
      </w:r>
    </w:p>
    <w:p w14:paraId="087052D6" w14:textId="77777777" w:rsidR="00F14940" w:rsidRPr="00F14940" w:rsidRDefault="00F14940" w:rsidP="00F14940">
      <w:pPr>
        <w:pStyle w:val="ListParagraph"/>
        <w:rPr>
          <w:rFonts w:ascii="Arial" w:hAnsi="Arial" w:cs="Arial"/>
          <w:lang w:eastAsia="en-GB"/>
        </w:rPr>
      </w:pPr>
    </w:p>
    <w:p w14:paraId="58268926" w14:textId="77777777" w:rsidR="00F14940" w:rsidRDefault="00F14940" w:rsidP="00925184">
      <w:pPr>
        <w:pStyle w:val="ListParagraph"/>
        <w:numPr>
          <w:ilvl w:val="0"/>
          <w:numId w:val="1"/>
        </w:numPr>
        <w:spacing w:after="160" w:line="276" w:lineRule="auto"/>
        <w:contextualSpacing/>
        <w:jc w:val="both"/>
        <w:rPr>
          <w:rFonts w:ascii="Arial" w:hAnsi="Arial" w:cs="Arial"/>
          <w:lang w:eastAsia="en-GB"/>
        </w:rPr>
      </w:pPr>
      <w:r>
        <w:rPr>
          <w:rFonts w:ascii="Arial" w:hAnsi="Arial" w:cs="Arial"/>
          <w:lang w:eastAsia="en-GB"/>
        </w:rPr>
        <w:t xml:space="preserve">Pensionable pay issues have the same implications for Wales as for England and FRAs will be advised as appropriate. </w:t>
      </w:r>
    </w:p>
    <w:p w14:paraId="5968537D" w14:textId="77777777" w:rsidR="00F14940" w:rsidRDefault="00F14940" w:rsidP="00F14940">
      <w:pPr>
        <w:pStyle w:val="ListParagraph"/>
        <w:spacing w:after="160" w:line="276" w:lineRule="auto"/>
        <w:ind w:left="567"/>
        <w:contextualSpacing/>
        <w:jc w:val="both"/>
        <w:rPr>
          <w:rFonts w:ascii="Arial" w:hAnsi="Arial" w:cs="Arial"/>
          <w:lang w:eastAsia="en-GB"/>
        </w:rPr>
      </w:pPr>
    </w:p>
    <w:p w14:paraId="1257D6B4" w14:textId="77777777" w:rsidR="00CF46B3" w:rsidRPr="00906BFF" w:rsidRDefault="00906BFF" w:rsidP="00925184">
      <w:pPr>
        <w:pStyle w:val="ListParagraph"/>
        <w:numPr>
          <w:ilvl w:val="0"/>
          <w:numId w:val="1"/>
        </w:numPr>
        <w:spacing w:after="160" w:line="276" w:lineRule="auto"/>
        <w:contextualSpacing/>
        <w:jc w:val="both"/>
        <w:rPr>
          <w:rFonts w:ascii="Arial" w:hAnsi="Arial" w:cs="Arial"/>
          <w:lang w:eastAsia="en-GB"/>
        </w:rPr>
      </w:pPr>
      <w:r w:rsidRPr="00906BFF">
        <w:rPr>
          <w:rFonts w:ascii="Arial" w:hAnsi="Arial" w:cs="Arial"/>
          <w:lang w:eastAsia="en-GB"/>
        </w:rPr>
        <w:t>Where relevant, 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sectPr w:rsidR="00CF46B3" w:rsidRPr="00906BFF" w:rsidSect="00D32E7C">
      <w:headerReference w:type="default" r:id="rId14"/>
      <w:footerReference w:type="default" r:id="rId15"/>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1276" w14:textId="77777777" w:rsidR="00D16AE2" w:rsidRDefault="00D16AE2">
      <w:r>
        <w:separator/>
      </w:r>
    </w:p>
  </w:endnote>
  <w:endnote w:type="continuationSeparator" w:id="0">
    <w:p w14:paraId="72CDCC6C" w14:textId="77777777" w:rsidR="00D16AE2" w:rsidRDefault="00D1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290B" w14:textId="77777777" w:rsidR="00D16AE2" w:rsidRDefault="00D16AE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9757" w14:textId="77777777" w:rsidR="00D16AE2" w:rsidRDefault="00D16AE2">
      <w:r>
        <w:separator/>
      </w:r>
    </w:p>
  </w:footnote>
  <w:footnote w:type="continuationSeparator" w:id="0">
    <w:p w14:paraId="722AB835" w14:textId="77777777" w:rsidR="00D16AE2" w:rsidRDefault="00D16AE2">
      <w:r>
        <w:continuationSeparator/>
      </w:r>
    </w:p>
  </w:footnote>
  <w:footnote w:id="1">
    <w:p w14:paraId="063F517A" w14:textId="77777777" w:rsidR="00D16AE2" w:rsidRPr="00116B58" w:rsidRDefault="00D16AE2" w:rsidP="00EC04D2">
      <w:pPr>
        <w:pStyle w:val="FootnoteText"/>
        <w:rPr>
          <w:rFonts w:ascii="Arial" w:hAnsi="Arial" w:cs="Arial"/>
          <w:sz w:val="18"/>
          <w:szCs w:val="18"/>
          <w:lang w:val="en-US"/>
        </w:rPr>
      </w:pPr>
      <w:r w:rsidRPr="00116B58">
        <w:rPr>
          <w:rStyle w:val="FootnoteReference"/>
          <w:rFonts w:ascii="Arial" w:hAnsi="Arial" w:cs="Arial"/>
          <w:sz w:val="16"/>
          <w:szCs w:val="16"/>
        </w:rPr>
        <w:footnoteRef/>
      </w:r>
      <w:r w:rsidRPr="00116B58">
        <w:rPr>
          <w:rFonts w:ascii="Arial" w:hAnsi="Arial" w:cs="Arial"/>
          <w:sz w:val="16"/>
          <w:szCs w:val="16"/>
        </w:rPr>
        <w:t xml:space="preserve"> </w:t>
      </w:r>
      <w:hyperlink r:id="rId1" w:history="1">
        <w:r w:rsidRPr="00116B58">
          <w:rPr>
            <w:rStyle w:val="Hyperlink"/>
            <w:rFonts w:ascii="Arial" w:hAnsi="Arial" w:cs="Arial"/>
            <w:sz w:val="18"/>
            <w:szCs w:val="18"/>
          </w:rPr>
          <w:t>http://www.fpsboard.org/images/PDF/Surveys/Aonreportfinal.pdf</w:t>
        </w:r>
      </w:hyperlink>
      <w:r>
        <w:rPr>
          <w:rFonts w:ascii="Arial" w:hAnsi="Arial" w:cs="Arial"/>
          <w:sz w:val="18"/>
          <w:szCs w:val="18"/>
        </w:rPr>
        <w:t xml:space="preserve"> </w:t>
      </w:r>
    </w:p>
  </w:footnote>
  <w:footnote w:id="2">
    <w:p w14:paraId="462562F4" w14:textId="77777777" w:rsidR="00D16AE2" w:rsidRPr="00EC04D2" w:rsidRDefault="00D16AE2">
      <w:pPr>
        <w:pStyle w:val="FootnoteText"/>
        <w:rPr>
          <w:rFonts w:ascii="Arial" w:hAnsi="Arial" w:cs="Arial"/>
          <w:sz w:val="18"/>
          <w:szCs w:val="18"/>
        </w:rPr>
      </w:pPr>
      <w:r>
        <w:rPr>
          <w:rStyle w:val="FootnoteReference"/>
        </w:rPr>
        <w:footnoteRef/>
      </w:r>
      <w:r>
        <w:t xml:space="preserve"> </w:t>
      </w:r>
      <w:r w:rsidRPr="00EC04D2">
        <w:rPr>
          <w:rFonts w:ascii="Arial" w:hAnsi="Arial" w:cs="Arial"/>
          <w:sz w:val="18"/>
          <w:szCs w:val="18"/>
        </w:rPr>
        <w:t xml:space="preserve">As previously referenced in FSMC reports </w:t>
      </w:r>
      <w:r w:rsidRPr="00EC04D2">
        <w:rPr>
          <w:rFonts w:ascii="Arial" w:hAnsi="Arial" w:cs="Arial"/>
          <w:noProof/>
          <w:color w:val="000000"/>
          <w:sz w:val="18"/>
          <w:szCs w:val="18"/>
          <w:lang w:eastAsia="en-GB"/>
        </w:rPr>
        <w:t>it should be noted that not all FRAs were able to provide cost data and there were some gaps in the data even where data was provided.</w:t>
      </w:r>
    </w:p>
  </w:footnote>
  <w:footnote w:id="3">
    <w:p w14:paraId="2351F5DF" w14:textId="77777777" w:rsidR="00D16AE2" w:rsidRPr="00116B58" w:rsidRDefault="00D16AE2">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2" w:history="1">
        <w:r w:rsidRPr="00116B58">
          <w:rPr>
            <w:rStyle w:val="Hyperlink"/>
            <w:rFonts w:ascii="Arial" w:hAnsi="Arial" w:cs="Arial"/>
            <w:sz w:val="18"/>
            <w:szCs w:val="18"/>
          </w:rPr>
          <w:t>http://www.legislation.gov.uk/ukpga/2013/25/schedule/4</w:t>
        </w:r>
      </w:hyperlink>
      <w:r w:rsidRPr="00116B58">
        <w:rPr>
          <w:rFonts w:ascii="Arial" w:hAnsi="Arial" w:cs="Arial"/>
          <w:sz w:val="18"/>
          <w:szCs w:val="18"/>
        </w:rPr>
        <w:t xml:space="preserve"> </w:t>
      </w:r>
    </w:p>
  </w:footnote>
  <w:footnote w:id="4">
    <w:p w14:paraId="1A522D94" w14:textId="77777777" w:rsidR="00D16AE2" w:rsidRDefault="00D16AE2">
      <w:pPr>
        <w:pStyle w:val="FootnoteText"/>
      </w:pPr>
      <w:r>
        <w:rPr>
          <w:rStyle w:val="FootnoteReference"/>
        </w:rPr>
        <w:footnoteRef/>
      </w:r>
      <w:r>
        <w:t xml:space="preserve"> </w:t>
      </w:r>
      <w:hyperlink r:id="rId3" w:history="1">
        <w:r w:rsidRPr="008E5BBC">
          <w:rPr>
            <w:rStyle w:val="Hyperlink"/>
          </w:rPr>
          <w:t>https://www.thepensionsregulator.gov.uk/en/about-us/how-we-regulate-and-enforce/supervision</w:t>
        </w:r>
      </w:hyperlink>
      <w:r>
        <w:t xml:space="preserve"> </w:t>
      </w:r>
    </w:p>
  </w:footnote>
  <w:footnote w:id="5">
    <w:p w14:paraId="5DAB37C4" w14:textId="77777777" w:rsidR="00D16AE2" w:rsidRDefault="00D16AE2" w:rsidP="000454AB">
      <w:pPr>
        <w:pStyle w:val="FootnoteText"/>
      </w:pPr>
      <w:r>
        <w:rPr>
          <w:rStyle w:val="FootnoteReference"/>
        </w:rPr>
        <w:footnoteRef/>
      </w:r>
      <w:r>
        <w:t xml:space="preserve"> </w:t>
      </w:r>
      <w:hyperlink r:id="rId4" w:history="1">
        <w:r w:rsidRPr="009C2FE8">
          <w:rPr>
            <w:rStyle w:val="Hyperlink"/>
          </w:rPr>
          <w:t>http://www.fpsboard.org/images/PDF/LPBsub/LPB-draft-minutes-141119.pdf</w:t>
        </w:r>
      </w:hyperlink>
    </w:p>
  </w:footnote>
  <w:footnote w:id="6">
    <w:p w14:paraId="0C875277" w14:textId="77777777" w:rsidR="00D16AE2" w:rsidRPr="00116B58" w:rsidRDefault="00D16AE2">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5" w:history="1">
        <w:r w:rsidRPr="00116B58">
          <w:rPr>
            <w:rStyle w:val="Hyperlink"/>
            <w:rFonts w:ascii="Arial" w:hAnsi="Arial" w:cs="Arial"/>
            <w:sz w:val="18"/>
            <w:szCs w:val="18"/>
          </w:rPr>
          <w:t>http://www.fpsboard.org/index.php/local-pension-boards/training</w:t>
        </w:r>
      </w:hyperlink>
      <w:r w:rsidRPr="00116B58">
        <w:rPr>
          <w:rFonts w:ascii="Arial" w:hAnsi="Arial" w:cs="Arial"/>
          <w:sz w:val="18"/>
          <w:szCs w:val="18"/>
        </w:rPr>
        <w:t xml:space="preserve"> </w:t>
      </w:r>
    </w:p>
  </w:footnote>
  <w:footnote w:id="7">
    <w:p w14:paraId="3E736729" w14:textId="77777777" w:rsidR="00D16AE2" w:rsidRDefault="00D16AE2">
      <w:pPr>
        <w:pStyle w:val="FootnoteText"/>
      </w:pPr>
      <w:r>
        <w:rPr>
          <w:rStyle w:val="FootnoteReference"/>
        </w:rPr>
        <w:footnoteRef/>
      </w:r>
      <w:r>
        <w:t xml:space="preserve"> </w:t>
      </w:r>
      <w:hyperlink r:id="rId6" w:history="1">
        <w:r w:rsidRPr="008E5BBC">
          <w:rPr>
            <w:rStyle w:val="Hyperlink"/>
          </w:rPr>
          <w:t>http://www.fpsregs.org/images/admin/TPR-6-key-processes.v1.pdf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FC41" w14:textId="50A69118" w:rsidR="00D16AE2" w:rsidRDefault="00D16AE2">
    <w:pPr>
      <w:pStyle w:val="Header"/>
    </w:pPr>
  </w:p>
  <w:tbl>
    <w:tblPr>
      <w:tblW w:w="0" w:type="auto"/>
      <w:tblLook w:val="01E0" w:firstRow="1" w:lastRow="1" w:firstColumn="1" w:lastColumn="1" w:noHBand="0" w:noVBand="0"/>
    </w:tblPr>
    <w:tblGrid>
      <w:gridCol w:w="5778"/>
      <w:gridCol w:w="3509"/>
    </w:tblGrid>
    <w:tr w:rsidR="00D16AE2" w:rsidRPr="00C23A63" w14:paraId="35F1F1FD" w14:textId="77777777" w:rsidTr="00FE08B6">
      <w:tc>
        <w:tcPr>
          <w:tcW w:w="5778" w:type="dxa"/>
          <w:vMerge w:val="restart"/>
          <w:shd w:val="clear" w:color="auto" w:fill="auto"/>
          <w:hideMark/>
        </w:tcPr>
        <w:p w14:paraId="1F632999" w14:textId="77777777" w:rsidR="00D16AE2" w:rsidRDefault="00D16AE2" w:rsidP="00FE08B6">
          <w:pPr>
            <w:pStyle w:val="Header"/>
          </w:pPr>
          <w:r>
            <w:rPr>
              <w:noProof/>
              <w:lang w:eastAsia="en-GB"/>
            </w:rPr>
            <w:drawing>
              <wp:inline distT="0" distB="0" distL="0" distR="0" wp14:anchorId="0C2F84E2" wp14:editId="160984FB">
                <wp:extent cx="1085850" cy="64770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3A3FA035" w14:textId="77777777" w:rsidR="00D16AE2" w:rsidRPr="00C23A63" w:rsidRDefault="00D16AE2" w:rsidP="00FE08B6">
          <w:pPr>
            <w:pStyle w:val="Header"/>
            <w:rPr>
              <w:b/>
            </w:rPr>
          </w:pPr>
          <w:r w:rsidRPr="00C23A63">
            <w:rPr>
              <w:rFonts w:ascii="Arial" w:hAnsi="Arial" w:cs="Arial"/>
              <w:b/>
            </w:rPr>
            <w:t>Fire</w:t>
          </w:r>
          <w:r>
            <w:rPr>
              <w:rFonts w:ascii="Arial" w:hAnsi="Arial" w:cs="Arial"/>
              <w:b/>
            </w:rPr>
            <w:t xml:space="preserve"> Services Management Committee</w:t>
          </w:r>
        </w:p>
      </w:tc>
    </w:tr>
    <w:tr w:rsidR="00D16AE2" w:rsidRPr="00C23A63" w14:paraId="77C665B8" w14:textId="77777777" w:rsidTr="00FE08B6">
      <w:trPr>
        <w:trHeight w:val="450"/>
      </w:trPr>
      <w:tc>
        <w:tcPr>
          <w:tcW w:w="0" w:type="auto"/>
          <w:vMerge/>
          <w:shd w:val="clear" w:color="auto" w:fill="auto"/>
          <w:vAlign w:val="center"/>
          <w:hideMark/>
        </w:tcPr>
        <w:p w14:paraId="1DDD3D7F" w14:textId="77777777" w:rsidR="00D16AE2" w:rsidRDefault="00D16AE2" w:rsidP="00FE08B6"/>
      </w:tc>
      <w:tc>
        <w:tcPr>
          <w:tcW w:w="3509" w:type="dxa"/>
          <w:shd w:val="clear" w:color="auto" w:fill="auto"/>
          <w:hideMark/>
        </w:tcPr>
        <w:p w14:paraId="4B8CE8A9" w14:textId="0E61FC62" w:rsidR="00D16AE2" w:rsidRPr="00C23A63" w:rsidRDefault="00D16AE2" w:rsidP="00FE08B6">
          <w:pPr>
            <w:pStyle w:val="Header"/>
            <w:spacing w:before="60"/>
            <w:rPr>
              <w:rFonts w:ascii="Arial" w:hAnsi="Arial" w:cs="Arial"/>
            </w:rPr>
          </w:pPr>
          <w:r>
            <w:rPr>
              <w:rFonts w:ascii="Arial" w:hAnsi="Arial" w:cs="Arial"/>
            </w:rPr>
            <w:t>24</w:t>
          </w:r>
          <w:r w:rsidR="000D38EE">
            <w:rPr>
              <w:rFonts w:ascii="Arial" w:hAnsi="Arial" w:cs="Arial"/>
              <w:vertAlign w:val="superscript"/>
            </w:rPr>
            <w:t xml:space="preserve"> </w:t>
          </w:r>
          <w:r>
            <w:rPr>
              <w:rFonts w:ascii="Arial" w:hAnsi="Arial" w:cs="Arial"/>
            </w:rPr>
            <w:t>January 2020</w:t>
          </w:r>
        </w:p>
      </w:tc>
    </w:tr>
    <w:tr w:rsidR="00D16AE2" w:rsidRPr="00C23A63" w14:paraId="7E666BAB" w14:textId="77777777" w:rsidTr="00FE08B6">
      <w:trPr>
        <w:trHeight w:val="450"/>
      </w:trPr>
      <w:tc>
        <w:tcPr>
          <w:tcW w:w="0" w:type="auto"/>
          <w:vMerge/>
          <w:shd w:val="clear" w:color="auto" w:fill="auto"/>
          <w:vAlign w:val="center"/>
          <w:hideMark/>
        </w:tcPr>
        <w:p w14:paraId="11394B3E" w14:textId="77777777" w:rsidR="00D16AE2" w:rsidRDefault="00D16AE2" w:rsidP="00FE08B6"/>
      </w:tc>
      <w:tc>
        <w:tcPr>
          <w:tcW w:w="3509" w:type="dxa"/>
          <w:shd w:val="clear" w:color="auto" w:fill="auto"/>
          <w:vAlign w:val="bottom"/>
          <w:hideMark/>
        </w:tcPr>
        <w:p w14:paraId="5E0845B0" w14:textId="21C4B33B" w:rsidR="00D16AE2" w:rsidRPr="00C23A63" w:rsidRDefault="00D16AE2" w:rsidP="00FE08B6">
          <w:pPr>
            <w:pStyle w:val="Header"/>
            <w:spacing w:before="60"/>
            <w:rPr>
              <w:rFonts w:ascii="Arial" w:hAnsi="Arial" w:cs="Arial"/>
              <w:b/>
            </w:rPr>
          </w:pPr>
        </w:p>
      </w:tc>
    </w:tr>
  </w:tbl>
  <w:p w14:paraId="3A3D6D31" w14:textId="73B3B7FE" w:rsidR="00D16AE2" w:rsidRDefault="00D16AE2">
    <w:pPr>
      <w:pStyle w:val="Header"/>
    </w:pPr>
  </w:p>
  <w:p w14:paraId="6192C432" w14:textId="77777777" w:rsidR="00D16AE2" w:rsidRPr="00043343" w:rsidRDefault="00D16AE2"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46755"/>
    <w:multiLevelType w:val="hybridMultilevel"/>
    <w:tmpl w:val="C660F7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0"/>
  </w:num>
  <w:num w:numId="6">
    <w:abstractNumId w:val="4"/>
  </w:num>
  <w:num w:numId="7">
    <w:abstractNumId w:val="5"/>
  </w:num>
  <w:num w:numId="8">
    <w:abstractNumId w:val="2"/>
  </w:num>
  <w:num w:numId="9">
    <w:abstractNumId w:val="11"/>
  </w:num>
  <w:num w:numId="10">
    <w:abstractNumId w:val="8"/>
  </w:num>
  <w:num w:numId="11">
    <w:abstractNumId w:val="7"/>
  </w:num>
  <w:num w:numId="12">
    <w:abstractNumId w:val="3"/>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07831"/>
    <w:rsid w:val="00012DC3"/>
    <w:rsid w:val="00013529"/>
    <w:rsid w:val="000146BA"/>
    <w:rsid w:val="00014A67"/>
    <w:rsid w:val="00016E4C"/>
    <w:rsid w:val="0001706F"/>
    <w:rsid w:val="000205BB"/>
    <w:rsid w:val="0002207F"/>
    <w:rsid w:val="000226E9"/>
    <w:rsid w:val="00025696"/>
    <w:rsid w:val="00033C6D"/>
    <w:rsid w:val="00034C23"/>
    <w:rsid w:val="000415B5"/>
    <w:rsid w:val="00043343"/>
    <w:rsid w:val="00043F05"/>
    <w:rsid w:val="000454AB"/>
    <w:rsid w:val="000477C3"/>
    <w:rsid w:val="00050376"/>
    <w:rsid w:val="0005198E"/>
    <w:rsid w:val="000527E4"/>
    <w:rsid w:val="00054AB9"/>
    <w:rsid w:val="000608A1"/>
    <w:rsid w:val="00063301"/>
    <w:rsid w:val="000637A8"/>
    <w:rsid w:val="00063A3F"/>
    <w:rsid w:val="000663A3"/>
    <w:rsid w:val="00066C4A"/>
    <w:rsid w:val="00070BA6"/>
    <w:rsid w:val="000729EE"/>
    <w:rsid w:val="000730C4"/>
    <w:rsid w:val="000758FA"/>
    <w:rsid w:val="000768BF"/>
    <w:rsid w:val="0007717F"/>
    <w:rsid w:val="000777A0"/>
    <w:rsid w:val="000777B3"/>
    <w:rsid w:val="00081814"/>
    <w:rsid w:val="000826EB"/>
    <w:rsid w:val="00084DC2"/>
    <w:rsid w:val="00086AA0"/>
    <w:rsid w:val="00086C0A"/>
    <w:rsid w:val="00087376"/>
    <w:rsid w:val="00090BB0"/>
    <w:rsid w:val="00091065"/>
    <w:rsid w:val="00091D04"/>
    <w:rsid w:val="00092A08"/>
    <w:rsid w:val="000958D1"/>
    <w:rsid w:val="00095926"/>
    <w:rsid w:val="0009695C"/>
    <w:rsid w:val="000A026A"/>
    <w:rsid w:val="000A0D97"/>
    <w:rsid w:val="000A22B8"/>
    <w:rsid w:val="000A2324"/>
    <w:rsid w:val="000A24CE"/>
    <w:rsid w:val="000A564F"/>
    <w:rsid w:val="000A5F84"/>
    <w:rsid w:val="000A62C9"/>
    <w:rsid w:val="000B1DBD"/>
    <w:rsid w:val="000B1DE8"/>
    <w:rsid w:val="000B3A43"/>
    <w:rsid w:val="000B70A7"/>
    <w:rsid w:val="000B760B"/>
    <w:rsid w:val="000C1EFB"/>
    <w:rsid w:val="000C1F43"/>
    <w:rsid w:val="000C2CD2"/>
    <w:rsid w:val="000C2DBA"/>
    <w:rsid w:val="000C51A1"/>
    <w:rsid w:val="000C635B"/>
    <w:rsid w:val="000D2116"/>
    <w:rsid w:val="000D38EE"/>
    <w:rsid w:val="000D63A0"/>
    <w:rsid w:val="000D644C"/>
    <w:rsid w:val="000E38E2"/>
    <w:rsid w:val="000E4414"/>
    <w:rsid w:val="000E4B68"/>
    <w:rsid w:val="000F2893"/>
    <w:rsid w:val="000F4818"/>
    <w:rsid w:val="000F4F78"/>
    <w:rsid w:val="000F5ACE"/>
    <w:rsid w:val="00101100"/>
    <w:rsid w:val="00104D52"/>
    <w:rsid w:val="00105DCE"/>
    <w:rsid w:val="0010780C"/>
    <w:rsid w:val="00111380"/>
    <w:rsid w:val="001161DB"/>
    <w:rsid w:val="00116B58"/>
    <w:rsid w:val="001214B0"/>
    <w:rsid w:val="00123087"/>
    <w:rsid w:val="001255DC"/>
    <w:rsid w:val="00125C8D"/>
    <w:rsid w:val="00127A20"/>
    <w:rsid w:val="00130030"/>
    <w:rsid w:val="00131727"/>
    <w:rsid w:val="00131A9C"/>
    <w:rsid w:val="001324CB"/>
    <w:rsid w:val="00132878"/>
    <w:rsid w:val="0013382D"/>
    <w:rsid w:val="00133DD6"/>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97748"/>
    <w:rsid w:val="001A0C31"/>
    <w:rsid w:val="001A31CB"/>
    <w:rsid w:val="001A4F7A"/>
    <w:rsid w:val="001A619C"/>
    <w:rsid w:val="001A706D"/>
    <w:rsid w:val="001A7992"/>
    <w:rsid w:val="001A7B18"/>
    <w:rsid w:val="001B02DC"/>
    <w:rsid w:val="001B1474"/>
    <w:rsid w:val="001B4071"/>
    <w:rsid w:val="001C007C"/>
    <w:rsid w:val="001C013A"/>
    <w:rsid w:val="001C5596"/>
    <w:rsid w:val="001C6188"/>
    <w:rsid w:val="001C760D"/>
    <w:rsid w:val="001C7E30"/>
    <w:rsid w:val="001C7F45"/>
    <w:rsid w:val="001D1886"/>
    <w:rsid w:val="001D3024"/>
    <w:rsid w:val="001E0CB8"/>
    <w:rsid w:val="001E29A8"/>
    <w:rsid w:val="001E40C9"/>
    <w:rsid w:val="001E64D3"/>
    <w:rsid w:val="001E7BD6"/>
    <w:rsid w:val="001E7DCF"/>
    <w:rsid w:val="001F1A46"/>
    <w:rsid w:val="001F3BDB"/>
    <w:rsid w:val="001F75CB"/>
    <w:rsid w:val="001F7B76"/>
    <w:rsid w:val="00200194"/>
    <w:rsid w:val="00203AC7"/>
    <w:rsid w:val="00207CAC"/>
    <w:rsid w:val="00210B65"/>
    <w:rsid w:val="0021262B"/>
    <w:rsid w:val="0021285F"/>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43BA1"/>
    <w:rsid w:val="002508F2"/>
    <w:rsid w:val="002510BF"/>
    <w:rsid w:val="00253295"/>
    <w:rsid w:val="00253F36"/>
    <w:rsid w:val="00256D32"/>
    <w:rsid w:val="0026368B"/>
    <w:rsid w:val="002668FE"/>
    <w:rsid w:val="00270F35"/>
    <w:rsid w:val="00274460"/>
    <w:rsid w:val="0027454B"/>
    <w:rsid w:val="002814CF"/>
    <w:rsid w:val="002878F6"/>
    <w:rsid w:val="00290353"/>
    <w:rsid w:val="0029269B"/>
    <w:rsid w:val="002951E3"/>
    <w:rsid w:val="002952F6"/>
    <w:rsid w:val="00296B9B"/>
    <w:rsid w:val="0029786F"/>
    <w:rsid w:val="002A08D5"/>
    <w:rsid w:val="002A08F8"/>
    <w:rsid w:val="002A4764"/>
    <w:rsid w:val="002A4F8A"/>
    <w:rsid w:val="002A6510"/>
    <w:rsid w:val="002A6A5C"/>
    <w:rsid w:val="002B0065"/>
    <w:rsid w:val="002B082E"/>
    <w:rsid w:val="002B1DCE"/>
    <w:rsid w:val="002B4F04"/>
    <w:rsid w:val="002C1EF2"/>
    <w:rsid w:val="002C369C"/>
    <w:rsid w:val="002D10C3"/>
    <w:rsid w:val="002D10D4"/>
    <w:rsid w:val="002D2F64"/>
    <w:rsid w:val="002D3B1A"/>
    <w:rsid w:val="002D480C"/>
    <w:rsid w:val="002D588F"/>
    <w:rsid w:val="002E5B16"/>
    <w:rsid w:val="002E6EE6"/>
    <w:rsid w:val="002E6F7F"/>
    <w:rsid w:val="002E7AEA"/>
    <w:rsid w:val="002F1CF8"/>
    <w:rsid w:val="002F1E95"/>
    <w:rsid w:val="002F54E1"/>
    <w:rsid w:val="00301D54"/>
    <w:rsid w:val="00302C43"/>
    <w:rsid w:val="00310F34"/>
    <w:rsid w:val="003120D2"/>
    <w:rsid w:val="003143CD"/>
    <w:rsid w:val="00315137"/>
    <w:rsid w:val="00315515"/>
    <w:rsid w:val="003175DF"/>
    <w:rsid w:val="003179B5"/>
    <w:rsid w:val="00320B3B"/>
    <w:rsid w:val="0032148B"/>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4D68"/>
    <w:rsid w:val="0035633C"/>
    <w:rsid w:val="00362864"/>
    <w:rsid w:val="00364207"/>
    <w:rsid w:val="003654DF"/>
    <w:rsid w:val="003674A3"/>
    <w:rsid w:val="00376697"/>
    <w:rsid w:val="00376FDF"/>
    <w:rsid w:val="00377475"/>
    <w:rsid w:val="00377E50"/>
    <w:rsid w:val="00381991"/>
    <w:rsid w:val="00381C72"/>
    <w:rsid w:val="00384643"/>
    <w:rsid w:val="003857AB"/>
    <w:rsid w:val="00390079"/>
    <w:rsid w:val="0039389F"/>
    <w:rsid w:val="0039506E"/>
    <w:rsid w:val="003957FB"/>
    <w:rsid w:val="00395EB4"/>
    <w:rsid w:val="0039691D"/>
    <w:rsid w:val="003A3FCF"/>
    <w:rsid w:val="003A78A8"/>
    <w:rsid w:val="003B14EF"/>
    <w:rsid w:val="003B3E02"/>
    <w:rsid w:val="003B41B6"/>
    <w:rsid w:val="003B509A"/>
    <w:rsid w:val="003B6B91"/>
    <w:rsid w:val="003C35BF"/>
    <w:rsid w:val="003D075B"/>
    <w:rsid w:val="003D0BB3"/>
    <w:rsid w:val="003D398A"/>
    <w:rsid w:val="003D784A"/>
    <w:rsid w:val="003E0B46"/>
    <w:rsid w:val="003E0D24"/>
    <w:rsid w:val="003E21DB"/>
    <w:rsid w:val="003E2C39"/>
    <w:rsid w:val="003E5DB1"/>
    <w:rsid w:val="003E76F8"/>
    <w:rsid w:val="003E7FDC"/>
    <w:rsid w:val="003F5F43"/>
    <w:rsid w:val="00400E42"/>
    <w:rsid w:val="00402011"/>
    <w:rsid w:val="00402CCB"/>
    <w:rsid w:val="00404FAA"/>
    <w:rsid w:val="004065E3"/>
    <w:rsid w:val="00407C08"/>
    <w:rsid w:val="00413527"/>
    <w:rsid w:val="00413D4E"/>
    <w:rsid w:val="00420071"/>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70AB1"/>
    <w:rsid w:val="0047481C"/>
    <w:rsid w:val="0048348B"/>
    <w:rsid w:val="00487760"/>
    <w:rsid w:val="00495081"/>
    <w:rsid w:val="004966C5"/>
    <w:rsid w:val="004A18F2"/>
    <w:rsid w:val="004A5DBB"/>
    <w:rsid w:val="004A628C"/>
    <w:rsid w:val="004A7DA6"/>
    <w:rsid w:val="004B50CD"/>
    <w:rsid w:val="004B6432"/>
    <w:rsid w:val="004C67E5"/>
    <w:rsid w:val="004C7602"/>
    <w:rsid w:val="004C7948"/>
    <w:rsid w:val="004D06FC"/>
    <w:rsid w:val="004D2754"/>
    <w:rsid w:val="004D305E"/>
    <w:rsid w:val="004D4EEF"/>
    <w:rsid w:val="004D5B27"/>
    <w:rsid w:val="004D5F3C"/>
    <w:rsid w:val="004D7718"/>
    <w:rsid w:val="004E0341"/>
    <w:rsid w:val="004E0973"/>
    <w:rsid w:val="004E1A76"/>
    <w:rsid w:val="004E4877"/>
    <w:rsid w:val="004E53B7"/>
    <w:rsid w:val="004E5A7E"/>
    <w:rsid w:val="004E622C"/>
    <w:rsid w:val="004F31FE"/>
    <w:rsid w:val="004F4241"/>
    <w:rsid w:val="004F4419"/>
    <w:rsid w:val="004F580E"/>
    <w:rsid w:val="005047B3"/>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34F4"/>
    <w:rsid w:val="005376C7"/>
    <w:rsid w:val="00537CF6"/>
    <w:rsid w:val="00543E51"/>
    <w:rsid w:val="00544A84"/>
    <w:rsid w:val="00546AF7"/>
    <w:rsid w:val="00550E63"/>
    <w:rsid w:val="005514A6"/>
    <w:rsid w:val="005516A0"/>
    <w:rsid w:val="005516E9"/>
    <w:rsid w:val="0055540C"/>
    <w:rsid w:val="00555832"/>
    <w:rsid w:val="00560C0E"/>
    <w:rsid w:val="00560EF2"/>
    <w:rsid w:val="00561D6B"/>
    <w:rsid w:val="00565A52"/>
    <w:rsid w:val="005667D3"/>
    <w:rsid w:val="00567898"/>
    <w:rsid w:val="0057038C"/>
    <w:rsid w:val="005719A8"/>
    <w:rsid w:val="00572789"/>
    <w:rsid w:val="005735F8"/>
    <w:rsid w:val="00580095"/>
    <w:rsid w:val="00581916"/>
    <w:rsid w:val="00583BE0"/>
    <w:rsid w:val="00584DB5"/>
    <w:rsid w:val="0058702B"/>
    <w:rsid w:val="00592441"/>
    <w:rsid w:val="00594891"/>
    <w:rsid w:val="005967DC"/>
    <w:rsid w:val="005A690D"/>
    <w:rsid w:val="005B281B"/>
    <w:rsid w:val="005B3A79"/>
    <w:rsid w:val="005B4A0B"/>
    <w:rsid w:val="005B56C6"/>
    <w:rsid w:val="005B5F6F"/>
    <w:rsid w:val="005B6CF7"/>
    <w:rsid w:val="005B70D2"/>
    <w:rsid w:val="005B7DBD"/>
    <w:rsid w:val="005C0100"/>
    <w:rsid w:val="005C2C8F"/>
    <w:rsid w:val="005C4603"/>
    <w:rsid w:val="005C557F"/>
    <w:rsid w:val="005C5CF9"/>
    <w:rsid w:val="005C6DEE"/>
    <w:rsid w:val="005D124B"/>
    <w:rsid w:val="005D19E1"/>
    <w:rsid w:val="005D3AD4"/>
    <w:rsid w:val="005D3BC6"/>
    <w:rsid w:val="005D5974"/>
    <w:rsid w:val="005D6057"/>
    <w:rsid w:val="005D780B"/>
    <w:rsid w:val="005D7B8B"/>
    <w:rsid w:val="005E0B6E"/>
    <w:rsid w:val="005E23F7"/>
    <w:rsid w:val="005E24CB"/>
    <w:rsid w:val="005E44C1"/>
    <w:rsid w:val="005F219F"/>
    <w:rsid w:val="005F5C2A"/>
    <w:rsid w:val="005F6754"/>
    <w:rsid w:val="005F681D"/>
    <w:rsid w:val="005F7A8D"/>
    <w:rsid w:val="00600AD5"/>
    <w:rsid w:val="006020A5"/>
    <w:rsid w:val="006031D6"/>
    <w:rsid w:val="00604033"/>
    <w:rsid w:val="00604BDF"/>
    <w:rsid w:val="00605D2D"/>
    <w:rsid w:val="006067AC"/>
    <w:rsid w:val="00610BF4"/>
    <w:rsid w:val="00612720"/>
    <w:rsid w:val="00615068"/>
    <w:rsid w:val="0062392B"/>
    <w:rsid w:val="00632759"/>
    <w:rsid w:val="00632EEC"/>
    <w:rsid w:val="00637950"/>
    <w:rsid w:val="00641D5C"/>
    <w:rsid w:val="006426FD"/>
    <w:rsid w:val="006429EB"/>
    <w:rsid w:val="0064362A"/>
    <w:rsid w:val="00646D07"/>
    <w:rsid w:val="00647300"/>
    <w:rsid w:val="006532E8"/>
    <w:rsid w:val="0066217E"/>
    <w:rsid w:val="006728FE"/>
    <w:rsid w:val="00672DA0"/>
    <w:rsid w:val="00672DCD"/>
    <w:rsid w:val="00675D4B"/>
    <w:rsid w:val="00680230"/>
    <w:rsid w:val="006805C1"/>
    <w:rsid w:val="00681964"/>
    <w:rsid w:val="00683803"/>
    <w:rsid w:val="00687360"/>
    <w:rsid w:val="0069009C"/>
    <w:rsid w:val="0069172D"/>
    <w:rsid w:val="00692D93"/>
    <w:rsid w:val="00696D68"/>
    <w:rsid w:val="006A2DDE"/>
    <w:rsid w:val="006A427B"/>
    <w:rsid w:val="006A49EC"/>
    <w:rsid w:val="006B0AC6"/>
    <w:rsid w:val="006B0E4B"/>
    <w:rsid w:val="006B647F"/>
    <w:rsid w:val="006B7D47"/>
    <w:rsid w:val="006C0290"/>
    <w:rsid w:val="006C034E"/>
    <w:rsid w:val="006C2786"/>
    <w:rsid w:val="006C3A27"/>
    <w:rsid w:val="006C4D0D"/>
    <w:rsid w:val="006C5DB8"/>
    <w:rsid w:val="006D42E1"/>
    <w:rsid w:val="006D5533"/>
    <w:rsid w:val="006D7A94"/>
    <w:rsid w:val="006D7E52"/>
    <w:rsid w:val="006E06E3"/>
    <w:rsid w:val="006E0EF1"/>
    <w:rsid w:val="006E2DE6"/>
    <w:rsid w:val="006E6ACC"/>
    <w:rsid w:val="00700BF4"/>
    <w:rsid w:val="00702866"/>
    <w:rsid w:val="00704D45"/>
    <w:rsid w:val="00705E93"/>
    <w:rsid w:val="00706B9F"/>
    <w:rsid w:val="007072E0"/>
    <w:rsid w:val="007108B3"/>
    <w:rsid w:val="00710FF7"/>
    <w:rsid w:val="00713304"/>
    <w:rsid w:val="007163BC"/>
    <w:rsid w:val="00720851"/>
    <w:rsid w:val="00720973"/>
    <w:rsid w:val="00720B54"/>
    <w:rsid w:val="00722264"/>
    <w:rsid w:val="00722786"/>
    <w:rsid w:val="00725409"/>
    <w:rsid w:val="00725EA1"/>
    <w:rsid w:val="00730729"/>
    <w:rsid w:val="007325CC"/>
    <w:rsid w:val="00735090"/>
    <w:rsid w:val="0073609F"/>
    <w:rsid w:val="00737D8D"/>
    <w:rsid w:val="007451BB"/>
    <w:rsid w:val="00747B32"/>
    <w:rsid w:val="007540F4"/>
    <w:rsid w:val="00756399"/>
    <w:rsid w:val="00756E5C"/>
    <w:rsid w:val="00760035"/>
    <w:rsid w:val="0076705E"/>
    <w:rsid w:val="00767A31"/>
    <w:rsid w:val="00767F22"/>
    <w:rsid w:val="0077189A"/>
    <w:rsid w:val="00771BCA"/>
    <w:rsid w:val="00771E17"/>
    <w:rsid w:val="00772F4A"/>
    <w:rsid w:val="00775FD4"/>
    <w:rsid w:val="0078208E"/>
    <w:rsid w:val="0078238E"/>
    <w:rsid w:val="00786BC7"/>
    <w:rsid w:val="00786DF6"/>
    <w:rsid w:val="00786DFB"/>
    <w:rsid w:val="007870A7"/>
    <w:rsid w:val="007906EC"/>
    <w:rsid w:val="00792493"/>
    <w:rsid w:val="00792EE4"/>
    <w:rsid w:val="00793402"/>
    <w:rsid w:val="00793DB3"/>
    <w:rsid w:val="007949D9"/>
    <w:rsid w:val="00794D80"/>
    <w:rsid w:val="00795B75"/>
    <w:rsid w:val="007A017E"/>
    <w:rsid w:val="007A05B7"/>
    <w:rsid w:val="007A2435"/>
    <w:rsid w:val="007A2800"/>
    <w:rsid w:val="007A32E5"/>
    <w:rsid w:val="007A4350"/>
    <w:rsid w:val="007A439C"/>
    <w:rsid w:val="007A4B49"/>
    <w:rsid w:val="007A4EBF"/>
    <w:rsid w:val="007B20F5"/>
    <w:rsid w:val="007B4A23"/>
    <w:rsid w:val="007B5B17"/>
    <w:rsid w:val="007B5D80"/>
    <w:rsid w:val="007B659F"/>
    <w:rsid w:val="007C0734"/>
    <w:rsid w:val="007C247A"/>
    <w:rsid w:val="007C46B5"/>
    <w:rsid w:val="007C4D52"/>
    <w:rsid w:val="007C515F"/>
    <w:rsid w:val="007D05C8"/>
    <w:rsid w:val="007D0A46"/>
    <w:rsid w:val="007D44A1"/>
    <w:rsid w:val="007E01EB"/>
    <w:rsid w:val="007E0C78"/>
    <w:rsid w:val="007E1C59"/>
    <w:rsid w:val="007E63FA"/>
    <w:rsid w:val="007F2205"/>
    <w:rsid w:val="007F47FF"/>
    <w:rsid w:val="007F5E73"/>
    <w:rsid w:val="007F6A8D"/>
    <w:rsid w:val="00801E2E"/>
    <w:rsid w:val="00802B72"/>
    <w:rsid w:val="00802C37"/>
    <w:rsid w:val="00802F09"/>
    <w:rsid w:val="00804A75"/>
    <w:rsid w:val="00804DF5"/>
    <w:rsid w:val="00812A16"/>
    <w:rsid w:val="008154AC"/>
    <w:rsid w:val="00816887"/>
    <w:rsid w:val="008168C7"/>
    <w:rsid w:val="00817121"/>
    <w:rsid w:val="00817DF7"/>
    <w:rsid w:val="008209E1"/>
    <w:rsid w:val="00823BFE"/>
    <w:rsid w:val="00824D4A"/>
    <w:rsid w:val="008269EF"/>
    <w:rsid w:val="0082781C"/>
    <w:rsid w:val="00830E53"/>
    <w:rsid w:val="00832D3A"/>
    <w:rsid w:val="00833336"/>
    <w:rsid w:val="00833532"/>
    <w:rsid w:val="00833BEE"/>
    <w:rsid w:val="00836191"/>
    <w:rsid w:val="008375A6"/>
    <w:rsid w:val="0084214C"/>
    <w:rsid w:val="008466DE"/>
    <w:rsid w:val="0084697E"/>
    <w:rsid w:val="00851189"/>
    <w:rsid w:val="0085302F"/>
    <w:rsid w:val="008534C3"/>
    <w:rsid w:val="00855DCB"/>
    <w:rsid w:val="0085642F"/>
    <w:rsid w:val="0086146E"/>
    <w:rsid w:val="00873D6E"/>
    <w:rsid w:val="008748AA"/>
    <w:rsid w:val="00880967"/>
    <w:rsid w:val="00881163"/>
    <w:rsid w:val="0088126C"/>
    <w:rsid w:val="008813DB"/>
    <w:rsid w:val="008818E1"/>
    <w:rsid w:val="00881BA5"/>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6C7C"/>
    <w:rsid w:val="008C76E1"/>
    <w:rsid w:val="008D483E"/>
    <w:rsid w:val="008D5D89"/>
    <w:rsid w:val="008E063E"/>
    <w:rsid w:val="008E100A"/>
    <w:rsid w:val="008E647D"/>
    <w:rsid w:val="008E7033"/>
    <w:rsid w:val="008E776F"/>
    <w:rsid w:val="008F405E"/>
    <w:rsid w:val="008F431D"/>
    <w:rsid w:val="008F60FF"/>
    <w:rsid w:val="008F7FE9"/>
    <w:rsid w:val="0090276F"/>
    <w:rsid w:val="00904D60"/>
    <w:rsid w:val="00904ED7"/>
    <w:rsid w:val="00906BFF"/>
    <w:rsid w:val="00914B49"/>
    <w:rsid w:val="00915D90"/>
    <w:rsid w:val="009229D6"/>
    <w:rsid w:val="00924BED"/>
    <w:rsid w:val="00925184"/>
    <w:rsid w:val="00932BF1"/>
    <w:rsid w:val="00932E72"/>
    <w:rsid w:val="00935B9B"/>
    <w:rsid w:val="00937DAD"/>
    <w:rsid w:val="00941156"/>
    <w:rsid w:val="00945411"/>
    <w:rsid w:val="009459C8"/>
    <w:rsid w:val="00946B30"/>
    <w:rsid w:val="0095015F"/>
    <w:rsid w:val="00951A65"/>
    <w:rsid w:val="00952F71"/>
    <w:rsid w:val="00954FCE"/>
    <w:rsid w:val="0095557F"/>
    <w:rsid w:val="00956074"/>
    <w:rsid w:val="00960656"/>
    <w:rsid w:val="00961ABB"/>
    <w:rsid w:val="009621F0"/>
    <w:rsid w:val="0096453F"/>
    <w:rsid w:val="00964DF8"/>
    <w:rsid w:val="009739CB"/>
    <w:rsid w:val="009749BE"/>
    <w:rsid w:val="00974AF5"/>
    <w:rsid w:val="009750A0"/>
    <w:rsid w:val="00976A00"/>
    <w:rsid w:val="00980682"/>
    <w:rsid w:val="00980D1D"/>
    <w:rsid w:val="009832A4"/>
    <w:rsid w:val="00991399"/>
    <w:rsid w:val="009925B9"/>
    <w:rsid w:val="00994EE5"/>
    <w:rsid w:val="009956BD"/>
    <w:rsid w:val="00995CB5"/>
    <w:rsid w:val="009A3F6F"/>
    <w:rsid w:val="009A458E"/>
    <w:rsid w:val="009A4AC4"/>
    <w:rsid w:val="009A544B"/>
    <w:rsid w:val="009A55FB"/>
    <w:rsid w:val="009A5EF4"/>
    <w:rsid w:val="009B03C0"/>
    <w:rsid w:val="009B0583"/>
    <w:rsid w:val="009B33F5"/>
    <w:rsid w:val="009B43C8"/>
    <w:rsid w:val="009B45EE"/>
    <w:rsid w:val="009B492D"/>
    <w:rsid w:val="009B5155"/>
    <w:rsid w:val="009B6B48"/>
    <w:rsid w:val="009C0363"/>
    <w:rsid w:val="009C05F7"/>
    <w:rsid w:val="009C510E"/>
    <w:rsid w:val="009C68E1"/>
    <w:rsid w:val="009C6C42"/>
    <w:rsid w:val="009D0CCB"/>
    <w:rsid w:val="009D3004"/>
    <w:rsid w:val="009D3FE8"/>
    <w:rsid w:val="009D4327"/>
    <w:rsid w:val="009D4A1C"/>
    <w:rsid w:val="009E0154"/>
    <w:rsid w:val="009E0316"/>
    <w:rsid w:val="009E34A3"/>
    <w:rsid w:val="009E3884"/>
    <w:rsid w:val="009E5A85"/>
    <w:rsid w:val="009E6171"/>
    <w:rsid w:val="009E7526"/>
    <w:rsid w:val="009F00E2"/>
    <w:rsid w:val="009F0E1C"/>
    <w:rsid w:val="009F1183"/>
    <w:rsid w:val="009F28C1"/>
    <w:rsid w:val="009F4AFC"/>
    <w:rsid w:val="00A00408"/>
    <w:rsid w:val="00A00E79"/>
    <w:rsid w:val="00A00F6C"/>
    <w:rsid w:val="00A0255D"/>
    <w:rsid w:val="00A044C0"/>
    <w:rsid w:val="00A04C6D"/>
    <w:rsid w:val="00A075CC"/>
    <w:rsid w:val="00A1700B"/>
    <w:rsid w:val="00A17C81"/>
    <w:rsid w:val="00A20ED8"/>
    <w:rsid w:val="00A2350B"/>
    <w:rsid w:val="00A26456"/>
    <w:rsid w:val="00A26F24"/>
    <w:rsid w:val="00A273BC"/>
    <w:rsid w:val="00A27C14"/>
    <w:rsid w:val="00A309F3"/>
    <w:rsid w:val="00A32619"/>
    <w:rsid w:val="00A3466C"/>
    <w:rsid w:val="00A35E22"/>
    <w:rsid w:val="00A3609B"/>
    <w:rsid w:val="00A377AE"/>
    <w:rsid w:val="00A42916"/>
    <w:rsid w:val="00A43258"/>
    <w:rsid w:val="00A47446"/>
    <w:rsid w:val="00A53708"/>
    <w:rsid w:val="00A60343"/>
    <w:rsid w:val="00A629EF"/>
    <w:rsid w:val="00A641EE"/>
    <w:rsid w:val="00A65FAD"/>
    <w:rsid w:val="00A67461"/>
    <w:rsid w:val="00A75046"/>
    <w:rsid w:val="00A802A8"/>
    <w:rsid w:val="00A82AA8"/>
    <w:rsid w:val="00A93395"/>
    <w:rsid w:val="00A94A3A"/>
    <w:rsid w:val="00A95EC5"/>
    <w:rsid w:val="00A96261"/>
    <w:rsid w:val="00AA1AE3"/>
    <w:rsid w:val="00AA2C6F"/>
    <w:rsid w:val="00AA39D3"/>
    <w:rsid w:val="00AA54D5"/>
    <w:rsid w:val="00AA5718"/>
    <w:rsid w:val="00AB2280"/>
    <w:rsid w:val="00AB2E8A"/>
    <w:rsid w:val="00AB37A2"/>
    <w:rsid w:val="00AB5C6F"/>
    <w:rsid w:val="00AB617B"/>
    <w:rsid w:val="00AB76D0"/>
    <w:rsid w:val="00AC11CB"/>
    <w:rsid w:val="00AC40C2"/>
    <w:rsid w:val="00AC51B7"/>
    <w:rsid w:val="00AC546D"/>
    <w:rsid w:val="00AC59A3"/>
    <w:rsid w:val="00AC672F"/>
    <w:rsid w:val="00AC7C5D"/>
    <w:rsid w:val="00AD1193"/>
    <w:rsid w:val="00AD73A0"/>
    <w:rsid w:val="00AE17D5"/>
    <w:rsid w:val="00AE2D6B"/>
    <w:rsid w:val="00AE2DCC"/>
    <w:rsid w:val="00AE32C5"/>
    <w:rsid w:val="00AE3991"/>
    <w:rsid w:val="00AE5A8F"/>
    <w:rsid w:val="00AE76A3"/>
    <w:rsid w:val="00AF0962"/>
    <w:rsid w:val="00AF3C3D"/>
    <w:rsid w:val="00AF3F2E"/>
    <w:rsid w:val="00AF712C"/>
    <w:rsid w:val="00B008E5"/>
    <w:rsid w:val="00B01E74"/>
    <w:rsid w:val="00B04903"/>
    <w:rsid w:val="00B0579A"/>
    <w:rsid w:val="00B0724B"/>
    <w:rsid w:val="00B1130A"/>
    <w:rsid w:val="00B12649"/>
    <w:rsid w:val="00B12BD7"/>
    <w:rsid w:val="00B13715"/>
    <w:rsid w:val="00B13A68"/>
    <w:rsid w:val="00B15621"/>
    <w:rsid w:val="00B158A5"/>
    <w:rsid w:val="00B166F6"/>
    <w:rsid w:val="00B252CA"/>
    <w:rsid w:val="00B2537B"/>
    <w:rsid w:val="00B27ABC"/>
    <w:rsid w:val="00B30CB7"/>
    <w:rsid w:val="00B32907"/>
    <w:rsid w:val="00B3290F"/>
    <w:rsid w:val="00B34C29"/>
    <w:rsid w:val="00B355D4"/>
    <w:rsid w:val="00B36A62"/>
    <w:rsid w:val="00B4080D"/>
    <w:rsid w:val="00B43F8E"/>
    <w:rsid w:val="00B4645C"/>
    <w:rsid w:val="00B47769"/>
    <w:rsid w:val="00B503DC"/>
    <w:rsid w:val="00B51539"/>
    <w:rsid w:val="00B52776"/>
    <w:rsid w:val="00B56A72"/>
    <w:rsid w:val="00B57F32"/>
    <w:rsid w:val="00B62DEE"/>
    <w:rsid w:val="00B65936"/>
    <w:rsid w:val="00B66DD8"/>
    <w:rsid w:val="00B714E7"/>
    <w:rsid w:val="00B72A7F"/>
    <w:rsid w:val="00B73F5A"/>
    <w:rsid w:val="00B77379"/>
    <w:rsid w:val="00B81087"/>
    <w:rsid w:val="00B813F3"/>
    <w:rsid w:val="00B821C7"/>
    <w:rsid w:val="00B82599"/>
    <w:rsid w:val="00B8304D"/>
    <w:rsid w:val="00B853F8"/>
    <w:rsid w:val="00B9036A"/>
    <w:rsid w:val="00B96672"/>
    <w:rsid w:val="00B96EF6"/>
    <w:rsid w:val="00B97BD9"/>
    <w:rsid w:val="00BA09C8"/>
    <w:rsid w:val="00BA7229"/>
    <w:rsid w:val="00BB00FB"/>
    <w:rsid w:val="00BB094C"/>
    <w:rsid w:val="00BB6B1C"/>
    <w:rsid w:val="00BB6CC1"/>
    <w:rsid w:val="00BC2611"/>
    <w:rsid w:val="00BC3123"/>
    <w:rsid w:val="00BC5613"/>
    <w:rsid w:val="00BC5D94"/>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2E39"/>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5568E"/>
    <w:rsid w:val="00C60CB2"/>
    <w:rsid w:val="00C615AD"/>
    <w:rsid w:val="00C616B3"/>
    <w:rsid w:val="00C623EC"/>
    <w:rsid w:val="00C62D6D"/>
    <w:rsid w:val="00C6398F"/>
    <w:rsid w:val="00C6592F"/>
    <w:rsid w:val="00C7105B"/>
    <w:rsid w:val="00C77A9E"/>
    <w:rsid w:val="00C80A6A"/>
    <w:rsid w:val="00C860FC"/>
    <w:rsid w:val="00C86BBC"/>
    <w:rsid w:val="00C906C5"/>
    <w:rsid w:val="00C92EC4"/>
    <w:rsid w:val="00C95B95"/>
    <w:rsid w:val="00C96DC5"/>
    <w:rsid w:val="00CA1A13"/>
    <w:rsid w:val="00CA1A3C"/>
    <w:rsid w:val="00CB6B67"/>
    <w:rsid w:val="00CB7067"/>
    <w:rsid w:val="00CC07E6"/>
    <w:rsid w:val="00CC0E49"/>
    <w:rsid w:val="00CC47E3"/>
    <w:rsid w:val="00CC4F4C"/>
    <w:rsid w:val="00CC689B"/>
    <w:rsid w:val="00CC6CB0"/>
    <w:rsid w:val="00CD39D6"/>
    <w:rsid w:val="00CD46E7"/>
    <w:rsid w:val="00CE00E3"/>
    <w:rsid w:val="00CE1AFF"/>
    <w:rsid w:val="00CE35A8"/>
    <w:rsid w:val="00CE5552"/>
    <w:rsid w:val="00CF146F"/>
    <w:rsid w:val="00CF46B3"/>
    <w:rsid w:val="00CF4C26"/>
    <w:rsid w:val="00CF68EE"/>
    <w:rsid w:val="00CF79EC"/>
    <w:rsid w:val="00D01AC4"/>
    <w:rsid w:val="00D03176"/>
    <w:rsid w:val="00D03678"/>
    <w:rsid w:val="00D03D21"/>
    <w:rsid w:val="00D03FE9"/>
    <w:rsid w:val="00D04CD6"/>
    <w:rsid w:val="00D068C3"/>
    <w:rsid w:val="00D11634"/>
    <w:rsid w:val="00D1424D"/>
    <w:rsid w:val="00D1628D"/>
    <w:rsid w:val="00D1691C"/>
    <w:rsid w:val="00D16AE2"/>
    <w:rsid w:val="00D16E15"/>
    <w:rsid w:val="00D218A8"/>
    <w:rsid w:val="00D241E9"/>
    <w:rsid w:val="00D243C2"/>
    <w:rsid w:val="00D25221"/>
    <w:rsid w:val="00D267C0"/>
    <w:rsid w:val="00D26918"/>
    <w:rsid w:val="00D32B42"/>
    <w:rsid w:val="00D32E7C"/>
    <w:rsid w:val="00D35EF4"/>
    <w:rsid w:val="00D370B0"/>
    <w:rsid w:val="00D42D38"/>
    <w:rsid w:val="00D43323"/>
    <w:rsid w:val="00D44CE0"/>
    <w:rsid w:val="00D45518"/>
    <w:rsid w:val="00D45903"/>
    <w:rsid w:val="00D522CD"/>
    <w:rsid w:val="00D525EE"/>
    <w:rsid w:val="00D5279B"/>
    <w:rsid w:val="00D538E8"/>
    <w:rsid w:val="00D54B86"/>
    <w:rsid w:val="00D5517D"/>
    <w:rsid w:val="00D55574"/>
    <w:rsid w:val="00D563F8"/>
    <w:rsid w:val="00D603C9"/>
    <w:rsid w:val="00D61A9A"/>
    <w:rsid w:val="00D62404"/>
    <w:rsid w:val="00D65E2C"/>
    <w:rsid w:val="00D6640A"/>
    <w:rsid w:val="00D70570"/>
    <w:rsid w:val="00D7637B"/>
    <w:rsid w:val="00D763D9"/>
    <w:rsid w:val="00D817CA"/>
    <w:rsid w:val="00D82ABB"/>
    <w:rsid w:val="00D94D3E"/>
    <w:rsid w:val="00D9556A"/>
    <w:rsid w:val="00DA24BE"/>
    <w:rsid w:val="00DA309A"/>
    <w:rsid w:val="00DA5360"/>
    <w:rsid w:val="00DA55A1"/>
    <w:rsid w:val="00DA5C76"/>
    <w:rsid w:val="00DA6E60"/>
    <w:rsid w:val="00DA7A8F"/>
    <w:rsid w:val="00DB0D4A"/>
    <w:rsid w:val="00DB196C"/>
    <w:rsid w:val="00DB20FA"/>
    <w:rsid w:val="00DB269C"/>
    <w:rsid w:val="00DB4977"/>
    <w:rsid w:val="00DB61D4"/>
    <w:rsid w:val="00DC258A"/>
    <w:rsid w:val="00DC3308"/>
    <w:rsid w:val="00DC6544"/>
    <w:rsid w:val="00DD03E9"/>
    <w:rsid w:val="00DD2269"/>
    <w:rsid w:val="00DD45F9"/>
    <w:rsid w:val="00DD47A5"/>
    <w:rsid w:val="00DD5126"/>
    <w:rsid w:val="00DD56D3"/>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4909"/>
    <w:rsid w:val="00E75A1C"/>
    <w:rsid w:val="00E77420"/>
    <w:rsid w:val="00E8054F"/>
    <w:rsid w:val="00E82AB3"/>
    <w:rsid w:val="00E86389"/>
    <w:rsid w:val="00E86F24"/>
    <w:rsid w:val="00E8771A"/>
    <w:rsid w:val="00E96992"/>
    <w:rsid w:val="00E97BBC"/>
    <w:rsid w:val="00EA0DC6"/>
    <w:rsid w:val="00EA49A1"/>
    <w:rsid w:val="00EB0A16"/>
    <w:rsid w:val="00EB0B32"/>
    <w:rsid w:val="00EB155A"/>
    <w:rsid w:val="00EB19E3"/>
    <w:rsid w:val="00EB31CE"/>
    <w:rsid w:val="00EB38CD"/>
    <w:rsid w:val="00EC04D2"/>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E523C"/>
    <w:rsid w:val="00EE6B9B"/>
    <w:rsid w:val="00EF091A"/>
    <w:rsid w:val="00EF0B8B"/>
    <w:rsid w:val="00EF0DA8"/>
    <w:rsid w:val="00EF27EE"/>
    <w:rsid w:val="00EF49B1"/>
    <w:rsid w:val="00EF53D7"/>
    <w:rsid w:val="00F00658"/>
    <w:rsid w:val="00F01AAD"/>
    <w:rsid w:val="00F03066"/>
    <w:rsid w:val="00F033F5"/>
    <w:rsid w:val="00F07172"/>
    <w:rsid w:val="00F1257F"/>
    <w:rsid w:val="00F14940"/>
    <w:rsid w:val="00F173C1"/>
    <w:rsid w:val="00F20826"/>
    <w:rsid w:val="00F21808"/>
    <w:rsid w:val="00F22451"/>
    <w:rsid w:val="00F25366"/>
    <w:rsid w:val="00F2566C"/>
    <w:rsid w:val="00F27054"/>
    <w:rsid w:val="00F27635"/>
    <w:rsid w:val="00F322D8"/>
    <w:rsid w:val="00F41270"/>
    <w:rsid w:val="00F413AD"/>
    <w:rsid w:val="00F41B12"/>
    <w:rsid w:val="00F44E14"/>
    <w:rsid w:val="00F4528A"/>
    <w:rsid w:val="00F45CAD"/>
    <w:rsid w:val="00F46335"/>
    <w:rsid w:val="00F526B0"/>
    <w:rsid w:val="00F53BE2"/>
    <w:rsid w:val="00F55359"/>
    <w:rsid w:val="00F553A0"/>
    <w:rsid w:val="00F56A07"/>
    <w:rsid w:val="00F627F4"/>
    <w:rsid w:val="00F64729"/>
    <w:rsid w:val="00F6711A"/>
    <w:rsid w:val="00F67D4C"/>
    <w:rsid w:val="00F70104"/>
    <w:rsid w:val="00F81ABE"/>
    <w:rsid w:val="00F820C7"/>
    <w:rsid w:val="00F8332A"/>
    <w:rsid w:val="00F845CB"/>
    <w:rsid w:val="00F862EC"/>
    <w:rsid w:val="00F8751A"/>
    <w:rsid w:val="00FB1862"/>
    <w:rsid w:val="00FB19D5"/>
    <w:rsid w:val="00FB1D99"/>
    <w:rsid w:val="00FB2639"/>
    <w:rsid w:val="00FB3E30"/>
    <w:rsid w:val="00FB4BCB"/>
    <w:rsid w:val="00FB512F"/>
    <w:rsid w:val="00FB6DC6"/>
    <w:rsid w:val="00FC12A9"/>
    <w:rsid w:val="00FD0AA6"/>
    <w:rsid w:val="00FD5571"/>
    <w:rsid w:val="00FD6066"/>
    <w:rsid w:val="00FD7B45"/>
    <w:rsid w:val="00FE08B6"/>
    <w:rsid w:val="00FE6C35"/>
    <w:rsid w:val="00FF4A86"/>
    <w:rsid w:val="00FF672A"/>
    <w:rsid w:val="00FF751A"/>
    <w:rsid w:val="00FF7BA0"/>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9BC8A4"/>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uiPriority w:val="99"/>
    <w:semiHidden/>
    <w:rsid w:val="00001C17"/>
    <w:rPr>
      <w:sz w:val="20"/>
      <w:szCs w:val="20"/>
    </w:rPr>
  </w:style>
  <w:style w:type="character" w:styleId="FootnoteReference">
    <w:name w:val="footnote reference"/>
    <w:uiPriority w:val="99"/>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uiPriority w:val="99"/>
    <w:semiHidden/>
    <w:rsid w:val="000454AB"/>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EMP%208%2019%20-%20FPS%202015%20CMPH%20-%20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workforce%20-%20fire%20and%20rescue%20services%20circulars%20-%20NJC%2001%2018%20%E2%80%93%20Inclusive%20Fire%20Service%20Group%20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regs.org/images/admin/Penpayv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pensionsregulator.gov.uk/en/about-us/how-we-regulate-and-enforce/supervision" TargetMode="External"/><Relationship Id="rId2" Type="http://schemas.openxmlformats.org/officeDocument/2006/relationships/hyperlink" Target="http://www.legislation.gov.uk/ukpga/2013/25/schedule/4" TargetMode="External"/><Relationship Id="rId1" Type="http://schemas.openxmlformats.org/officeDocument/2006/relationships/hyperlink" Target="http://www.fpsboard.org/images/PDF/Surveys/Aonreportfinal.pdf" TargetMode="External"/><Relationship Id="rId6" Type="http://schemas.openxmlformats.org/officeDocument/2006/relationships/hyperlink" Target="http://www.fpsregs.org/images/admin/TPR-6-key-processes.v1.pdf" TargetMode="External"/><Relationship Id="rId5" Type="http://schemas.openxmlformats.org/officeDocument/2006/relationships/hyperlink" Target="http://www.fpsboard.org/index.php/local-pension-boards/training" TargetMode="External"/><Relationship Id="rId4" Type="http://schemas.openxmlformats.org/officeDocument/2006/relationships/hyperlink" Target="http://www.fpsboard.org/images/PDF/LPBsub/LPB-draft-minutes-1411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26BC-5652-4C88-BD92-4140525AD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36f666af-c1f7-41bf-aa8d-09e75bf390e0"/>
    <ds:schemaRef ds:uri="http://purl.org/dc/elements/1.1/"/>
    <ds:schemaRef ds:uri="http://schemas.microsoft.com/office/2006/documentManagement/types"/>
    <ds:schemaRef ds:uri="260551db-00be-4bbc-8c7a-03e783dddd1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C8F6D5-6E97-490F-BC2B-A4359316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AE22300A</Template>
  <TotalTime>2</TotalTime>
  <Pages>6</Pages>
  <Words>1663</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10870</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Jonathan Bryant</cp:lastModifiedBy>
  <cp:revision>4</cp:revision>
  <cp:lastPrinted>2020-01-15T20:38:00Z</cp:lastPrinted>
  <dcterms:created xsi:type="dcterms:W3CDTF">2020-01-17T12:14:00Z</dcterms:created>
  <dcterms:modified xsi:type="dcterms:W3CDTF">2020-01-17T16:48:00Z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